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492"/>
          <w:tab w:val="clear" w:pos="4536"/>
          <w:tab w:val="clear" w:pos="9072"/>
        </w:tabs>
        <w:snapToGrid w:val="0"/>
        <w:rPr>
          <w:rFonts w:eastAsia="宋体" w:cs="Arial"/>
          <w:sz w:val="22"/>
          <w:szCs w:val="22"/>
          <w:lang w:eastAsia="zh-CN"/>
        </w:rPr>
      </w:pPr>
      <w:r>
        <w:rPr>
          <w:rFonts w:cs="Arial"/>
          <w:sz w:val="22"/>
          <w:szCs w:val="22"/>
        </w:rPr>
        <w:t>3GPP TSG RAN WG1 Meeting #</w:t>
      </w:r>
      <w:r>
        <w:rPr>
          <w:rFonts w:eastAsia="宋体" w:cs="Arial"/>
          <w:sz w:val="22"/>
          <w:szCs w:val="22"/>
          <w:lang w:eastAsia="zh-CN"/>
        </w:rPr>
        <w:t>11</w:t>
      </w:r>
      <w:r>
        <w:rPr>
          <w:rFonts w:hint="eastAsia" w:eastAsia="宋体" w:cs="Arial"/>
          <w:sz w:val="22"/>
          <w:szCs w:val="22"/>
          <w:lang w:eastAsia="zh-CN"/>
        </w:rPr>
        <w:t>5</w:t>
      </w:r>
      <w:r>
        <w:rPr>
          <w:rFonts w:eastAsia="宋体" w:cs="Arial"/>
          <w:sz w:val="23"/>
          <w:szCs w:val="23"/>
          <w:lang w:eastAsia="zh-CN"/>
        </w:rPr>
        <w:tab/>
      </w:r>
      <w:r>
        <w:rPr>
          <w:rFonts w:hint="eastAsia" w:cs="Arial"/>
          <w:sz w:val="22"/>
          <w:szCs w:val="22"/>
          <w:lang w:eastAsia="ja-JP"/>
        </w:rPr>
        <w:t>R1-2310960</w:t>
      </w:r>
    </w:p>
    <w:p>
      <w:pPr>
        <w:tabs>
          <w:tab w:val="center" w:pos="4536"/>
          <w:tab w:val="right" w:pos="9072"/>
        </w:tabs>
        <w:rPr>
          <w:rFonts w:ascii="Arial" w:hAnsi="Arial" w:eastAsia="宋体" w:cs="Arial"/>
          <w:b/>
          <w:bCs/>
          <w:sz w:val="22"/>
        </w:rPr>
      </w:pPr>
      <w:r>
        <w:rPr>
          <w:rFonts w:ascii="Arial" w:hAnsi="Arial" w:eastAsia="MS Mincho" w:cs="Arial"/>
          <w:b/>
          <w:bCs/>
          <w:sz w:val="22"/>
          <w:lang w:eastAsia="ja-JP"/>
        </w:rPr>
        <w:t>Chicago, USA, November 13</w:t>
      </w:r>
      <w:r>
        <w:rPr>
          <w:rFonts w:ascii="Arial" w:hAnsi="Arial" w:eastAsia="Malgun Gothic" w:cs="Arial"/>
          <w:b/>
          <w:bCs/>
          <w:sz w:val="22"/>
          <w:vertAlign w:val="superscript"/>
          <w:lang w:eastAsia="ko-KR"/>
        </w:rPr>
        <w:t>th</w:t>
      </w:r>
      <w:r>
        <w:rPr>
          <w:rFonts w:ascii="Arial" w:hAnsi="Arial" w:eastAsia="MS Mincho" w:cs="Arial"/>
          <w:b/>
          <w:bCs/>
          <w:sz w:val="22"/>
          <w:lang w:eastAsia="ja-JP"/>
        </w:rPr>
        <w:t xml:space="preserve"> </w:t>
      </w:r>
      <w:r>
        <w:rPr>
          <w:rFonts w:ascii="Arial" w:hAnsi="Arial" w:cs="Arial"/>
          <w:b/>
          <w:bCs/>
          <w:sz w:val="22"/>
        </w:rPr>
        <w:t xml:space="preserve">– </w:t>
      </w:r>
      <w:r>
        <w:rPr>
          <w:rFonts w:ascii="Arial" w:hAnsi="Arial" w:eastAsia="MS Mincho" w:cs="Arial"/>
          <w:b/>
          <w:bCs/>
          <w:sz w:val="22"/>
          <w:lang w:eastAsia="ja-JP"/>
        </w:rPr>
        <w:t>17</w:t>
      </w:r>
      <w:r>
        <w:rPr>
          <w:rFonts w:ascii="Arial" w:hAnsi="Arial" w:eastAsia="MS Mincho" w:cs="Arial"/>
          <w:b/>
          <w:bCs/>
          <w:sz w:val="22"/>
          <w:vertAlign w:val="superscript"/>
          <w:lang w:eastAsia="ja-JP"/>
        </w:rPr>
        <w:t>th</w:t>
      </w:r>
      <w:r>
        <w:rPr>
          <w:rFonts w:ascii="Arial" w:hAnsi="Arial" w:eastAsia="MS Mincho" w:cs="Arial"/>
          <w:b/>
          <w:bCs/>
          <w:sz w:val="22"/>
          <w:lang w:eastAsia="ja-JP"/>
        </w:rPr>
        <w:t>, 2023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Discussion on aperiodic triggering support for SRS carrier switching</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7.1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hint="eastAsia" w:eastAsia="等线"/>
          <w:bCs/>
          <w:szCs w:val="18"/>
          <w:lang w:eastAsia="zh-CN"/>
        </w:rPr>
      </w:pPr>
      <w:r>
        <w:rPr>
          <w:rFonts w:hint="eastAsia" w:eastAsia="宋体" w:cs="Times"/>
          <w:bCs/>
        </w:rPr>
        <w:t>In RAN1 #114 meeting, issues on aperiodic triggering support for SRS carrier switching were discussed</w:t>
      </w:r>
      <w:r>
        <w:rPr>
          <w:rFonts w:hint="eastAsia" w:eastAsia="等线"/>
          <w:bCs/>
          <w:szCs w:val="18"/>
        </w:rPr>
        <w:t>, and agreement was reached</w:t>
      </w:r>
      <w:r>
        <w:rPr>
          <w:rFonts w:eastAsia="等线"/>
          <w:bCs/>
          <w:szCs w:val="18"/>
        </w:rPr>
        <w:t xml:space="preserve"> </w:t>
      </w:r>
      <w:r>
        <w:rPr>
          <w:rFonts w:hint="eastAsia" w:eastAsia="等线"/>
          <w:bCs/>
          <w:szCs w:val="18"/>
          <w:vertAlign w:val="superscript"/>
        </w:rPr>
        <w:t>[1]</w:t>
      </w:r>
      <w:r>
        <w:rPr>
          <w:rFonts w:hint="eastAsia" w:eastAsia="等线"/>
          <w:bCs/>
          <w:szCs w:val="18"/>
        </w:rPr>
        <w:t xml:space="preserve"> as follows.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rPr>
                <w:b/>
                <w:bCs/>
                <w:highlight w:val="green"/>
              </w:rPr>
            </w:pPr>
            <w:r>
              <w:rPr>
                <w:b/>
                <w:bCs/>
                <w:highlight w:val="green"/>
              </w:rPr>
              <w:t>Agreement</w:t>
            </w:r>
          </w:p>
          <w:p>
            <w:pPr>
              <w:spacing w:after="0" w:line="240" w:lineRule="auto"/>
              <w:rPr>
                <w:rFonts w:eastAsia="Malgun Gothic"/>
                <w:lang w:eastAsia="ko-KR"/>
              </w:rPr>
            </w:pPr>
            <w:r>
              <w:rPr>
                <w:rFonts w:eastAsia="Malgun Gothic"/>
                <w:lang w:eastAsia="ko-KR"/>
              </w:rPr>
              <w:t>Select one of the following two alternatives in RAN1#114bis:</w:t>
            </w:r>
          </w:p>
          <w:p>
            <w:pPr>
              <w:pStyle w:val="111"/>
              <w:numPr>
                <w:ilvl w:val="0"/>
                <w:numId w:val="10"/>
              </w:numPr>
              <w:spacing w:after="0" w:line="240" w:lineRule="auto"/>
              <w:ind w:left="800" w:leftChars="200" w:hanging="400" w:hangingChars="200"/>
              <w:rPr>
                <w:rFonts w:eastAsia="Malgun Gothic" w:cs="Arial"/>
                <w:lang w:eastAsia="ko-KR"/>
              </w:rPr>
            </w:pPr>
            <w:r>
              <w:rPr>
                <w:rFonts w:eastAsia="Malgun Gothic"/>
                <w:lang w:eastAsia="ko-KR"/>
              </w:rPr>
              <w:t>Alt 1: RAN1 concludes that DCI 1_1 and 1</w:t>
            </w:r>
            <w:r>
              <w:rPr>
                <w:rFonts w:eastAsia="Malgun Gothic" w:cs="Arial"/>
                <w:lang w:eastAsia="ko-KR"/>
              </w:rPr>
              <w:t>_2 triggering are supported for aperiodic SRS carrier switching in Rel-15</w:t>
            </w:r>
          </w:p>
          <w:p>
            <w:pPr>
              <w:pStyle w:val="111"/>
              <w:numPr>
                <w:ilvl w:val="0"/>
                <w:numId w:val="10"/>
              </w:numPr>
              <w:spacing w:after="0" w:line="240" w:lineRule="auto"/>
              <w:ind w:left="800" w:leftChars="200" w:hanging="400" w:hangingChars="200"/>
              <w:rPr>
                <w:rFonts w:eastAsia="Malgun Gothic" w:cs="Arial"/>
                <w:lang w:eastAsia="ko-KR"/>
              </w:rPr>
            </w:pPr>
            <w:r>
              <w:rPr>
                <w:rFonts w:eastAsia="Malgun Gothic"/>
                <w:lang w:eastAsia="ko-KR"/>
              </w:rPr>
              <w:t>Alt 2: RAN1 agrees to introduce Rel-17 UE capability signalling related to support of DCI 1_1 and 1</w:t>
            </w:r>
            <w:r>
              <w:rPr>
                <w:rFonts w:eastAsia="Malgun Gothic" w:cs="Arial"/>
                <w:lang w:eastAsia="ko-KR"/>
              </w:rPr>
              <w:t>_2 triggering for aperiodic SRS carrier switching.</w:t>
            </w:r>
          </w:p>
          <w:p>
            <w:pPr>
              <w:spacing w:after="0" w:line="240" w:lineRule="auto"/>
              <w:rPr>
                <w:b/>
                <w:bCs/>
              </w:rPr>
            </w:pPr>
          </w:p>
          <w:p>
            <w:pPr>
              <w:spacing w:after="0" w:line="240" w:lineRule="auto"/>
              <w:jc w:val="both"/>
              <w:rPr>
                <w:b/>
                <w:bCs/>
                <w:i/>
                <w:iCs/>
                <w:szCs w:val="20"/>
              </w:rPr>
            </w:pPr>
            <w:r>
              <w:rPr>
                <w:b/>
                <w:bCs/>
                <w:i/>
                <w:iCs/>
                <w:szCs w:val="20"/>
              </w:rPr>
              <w:t>For the editors:</w:t>
            </w:r>
          </w:p>
          <w:p>
            <w:pPr>
              <w:spacing w:after="0" w:line="240" w:lineRule="auto"/>
              <w:jc w:val="both"/>
              <w:rPr>
                <w:rFonts w:cs="Times"/>
                <w:szCs w:val="20"/>
              </w:rPr>
            </w:pPr>
            <w:r>
              <w:rPr>
                <w:rFonts w:cs="Times"/>
                <w:szCs w:val="20"/>
              </w:rPr>
              <w:t>The following text proposal is provided to improve the clarity of the RAN1 specifications. Please include it in the Rel-17 alignment CR (TS38.213).</w:t>
            </w:r>
          </w:p>
          <w:p>
            <w:pPr>
              <w:spacing w:after="0" w:line="240" w:lineRule="auto"/>
              <w:jc w:val="both"/>
              <w:rPr>
                <w:rFonts w:eastAsia="等线"/>
                <w:bCs/>
                <w:szCs w:val="18"/>
              </w:rPr>
            </w:pPr>
            <w:r>
              <w:t>TP in proposal 2 (of R1-2308606).</w:t>
            </w:r>
          </w:p>
        </w:tc>
      </w:tr>
    </w:tbl>
    <w:p>
      <w:pPr>
        <w:snapToGrid w:val="0"/>
        <w:spacing w:before="72" w:beforeLines="30" w:after="72" w:afterLines="30" w:line="288" w:lineRule="auto"/>
        <w:jc w:val="both"/>
        <w:rPr>
          <w:rFonts w:eastAsia="宋体"/>
          <w:bCs/>
          <w:szCs w:val="18"/>
        </w:rPr>
      </w:pPr>
      <w:r>
        <w:rPr>
          <w:rFonts w:hint="eastAsia" w:eastAsia="宋体" w:cs="Times"/>
          <w:bCs/>
        </w:rPr>
        <w:t>Then during RAN1 #114bis, the issue was further discussed and expanded, companies</w:t>
      </w:r>
      <w:r>
        <w:rPr>
          <w:rFonts w:eastAsia="宋体" w:cs="Times"/>
          <w:bCs/>
        </w:rPr>
        <w:t>’</w:t>
      </w:r>
      <w:r>
        <w:rPr>
          <w:rFonts w:hint="eastAsia" w:eastAsia="宋体" w:cs="Times"/>
          <w:bCs/>
        </w:rPr>
        <w:t xml:space="preserve"> comments and FL summary can be found in [2]. In this contribution, we provide our analysis on the related issues. </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Discussion on DCI format 1_1 and 1_2 triggering aperiodic SRS carrier switching</w:t>
      </w:r>
    </w:p>
    <w:p>
      <w:pPr>
        <w:numPr>
          <w:ilvl w:val="1"/>
          <w:numId w:val="9"/>
        </w:numPr>
        <w:tabs>
          <w:tab w:val="clear" w:pos="576"/>
        </w:tabs>
        <w:snapToGrid w:val="0"/>
        <w:spacing w:before="120" w:beforeLines="50" w:after="120" w:afterLines="50" w:line="288" w:lineRule="auto"/>
        <w:ind w:left="400" w:hanging="400"/>
        <w:jc w:val="both"/>
        <w:outlineLvl w:val="1"/>
        <w:rPr>
          <w:rFonts w:eastAsia="宋体"/>
          <w:b/>
          <w:sz w:val="28"/>
          <w:szCs w:val="28"/>
        </w:rPr>
      </w:pPr>
      <w:r>
        <w:rPr>
          <w:rFonts w:hint="eastAsia" w:eastAsia="宋体"/>
          <w:b/>
          <w:sz w:val="24"/>
          <w:szCs w:val="24"/>
        </w:rPr>
        <w:t>Issue 1: On UE capability</w:t>
      </w:r>
    </w:p>
    <w:p>
      <w:pPr>
        <w:snapToGrid w:val="0"/>
        <w:spacing w:before="72" w:beforeLines="30" w:after="72" w:afterLines="30" w:line="288" w:lineRule="auto"/>
        <w:jc w:val="both"/>
        <w:rPr>
          <w:rFonts w:eastAsia="宋体"/>
        </w:rPr>
      </w:pPr>
      <w:r>
        <w:rPr>
          <w:rFonts w:hint="eastAsia" w:eastAsia="宋体"/>
        </w:rPr>
        <w:t>Based on the above agreement and the discussions in section 2.1</w:t>
      </w:r>
      <w:r>
        <w:rPr>
          <w:rFonts w:hint="eastAsia" w:eastAsia="宋体"/>
          <w:vertAlign w:val="superscript"/>
        </w:rPr>
        <w:t>[2]</w:t>
      </w:r>
      <w:r>
        <w:rPr>
          <w:rFonts w:hint="eastAsia" w:eastAsia="宋体"/>
        </w:rPr>
        <w:t>, the majority</w:t>
      </w:r>
      <w:r>
        <w:rPr>
          <w:rFonts w:hint="eastAsia" w:eastAsia="宋体"/>
          <w:lang w:val="en-US" w:eastAsia="zh-CN"/>
        </w:rPr>
        <w:t xml:space="preserve"> of</w:t>
      </w:r>
      <w:r>
        <w:rPr>
          <w:rFonts w:hint="eastAsia" w:eastAsia="宋体"/>
        </w:rPr>
        <w:t xml:space="preserve"> comp</w:t>
      </w:r>
      <w:r>
        <w:rPr>
          <w:rFonts w:eastAsia="宋体"/>
        </w:rPr>
        <w:t xml:space="preserve">anies </w:t>
      </w:r>
      <w:r>
        <w:rPr>
          <w:rFonts w:hint="eastAsia" w:eastAsia="宋体"/>
        </w:rPr>
        <w:t>agree that DCI 1_1 and 1_2 can support for SRS carrier switching, and no new UE capability is needed. But minimum set of existing UE capability may need to be discussed to support DCI format 1_1 and 1_2 triggering aperiodic SRS carrier switching, as discussed in Question 2.1.1</w:t>
      </w:r>
      <w:r>
        <w:rPr>
          <w:rFonts w:hint="eastAsia" w:eastAsia="宋体"/>
          <w:vertAlign w:val="superscript"/>
        </w:rPr>
        <w:t>[2]</w:t>
      </w:r>
      <w:r>
        <w:rPr>
          <w:rFonts w:hint="eastAsia" w:eastAsia="宋体"/>
        </w:rPr>
        <w:t xml:space="preserve">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pacing w:after="0" w:line="288" w:lineRule="auto"/>
              <w:rPr>
                <w:rFonts w:eastAsia="Malgun Gothic"/>
                <w:b/>
                <w:bCs/>
                <w:szCs w:val="20"/>
                <w:u w:val="single"/>
                <w:lang w:val="en-GB" w:eastAsia="ko-KR"/>
              </w:rPr>
            </w:pPr>
            <w:r>
              <w:rPr>
                <w:rFonts w:eastAsia="Malgun Gothic"/>
                <w:b/>
                <w:bCs/>
                <w:szCs w:val="20"/>
                <w:u w:val="single"/>
                <w:lang w:val="en-GB" w:eastAsia="ko-KR"/>
              </w:rPr>
              <w:t>Please provide your view on the following statement for further discussion:</w:t>
            </w:r>
          </w:p>
          <w:p>
            <w:pPr>
              <w:spacing w:after="0" w:line="288" w:lineRule="auto"/>
              <w:rPr>
                <w:b/>
                <w:bCs/>
                <w:szCs w:val="20"/>
                <w:lang w:val="en-GB" w:eastAsia="ja-JP"/>
              </w:rPr>
            </w:pPr>
            <w:r>
              <w:rPr>
                <w:b/>
                <w:bCs/>
                <w:szCs w:val="20"/>
                <w:lang w:val="en-GB" w:eastAsia="ja-JP"/>
              </w:rPr>
              <w:t>Minimum support for aperiodic SRS carrier switching triggered by DCI 1_1/1_2 requires the capabilities</w:t>
            </w:r>
          </w:p>
          <w:p>
            <w:pPr>
              <w:pStyle w:val="111"/>
              <w:numPr>
                <w:ilvl w:val="0"/>
                <w:numId w:val="11"/>
              </w:numPr>
              <w:spacing w:after="0" w:line="288" w:lineRule="auto"/>
              <w:ind w:firstLine="402"/>
              <w:rPr>
                <w:b/>
                <w:bCs/>
                <w:szCs w:val="20"/>
                <w:lang w:val="en-GB" w:eastAsia="ja-JP"/>
              </w:rPr>
            </w:pPr>
            <w:r>
              <w:rPr>
                <w:b/>
                <w:bCs/>
                <w:i/>
                <w:iCs/>
                <w:szCs w:val="20"/>
                <w:lang w:val="en-GB" w:eastAsia="ja-JP"/>
              </w:rPr>
              <w:t>srs-CarrierSwitch</w:t>
            </w:r>
            <w:r>
              <w:rPr>
                <w:b/>
                <w:bCs/>
                <w:szCs w:val="20"/>
                <w:lang w:val="en-GB" w:eastAsia="ja-JP"/>
              </w:rPr>
              <w:t xml:space="preserve"> (feature group 2-56) and its prerequisite(s) as specified in 38.306. </w:t>
            </w:r>
          </w:p>
          <w:p>
            <w:pPr>
              <w:pStyle w:val="111"/>
              <w:numPr>
                <w:ilvl w:val="0"/>
                <w:numId w:val="11"/>
              </w:numPr>
              <w:spacing w:after="0" w:line="288" w:lineRule="auto"/>
              <w:ind w:firstLine="402"/>
              <w:rPr>
                <w:b/>
                <w:bCs/>
                <w:szCs w:val="20"/>
                <w:lang w:val="en-GB" w:eastAsia="ja-JP"/>
              </w:rPr>
            </w:pPr>
            <w:r>
              <w:rPr>
                <w:b/>
                <w:bCs/>
                <w:szCs w:val="20"/>
                <w:lang w:val="en-GB" w:eastAsia="ja-JP"/>
              </w:rPr>
              <w:t xml:space="preserve">Basic DL NR-NR CA operation, </w:t>
            </w:r>
            <w:r>
              <w:rPr>
                <w:b/>
                <w:bCs/>
                <w:i/>
                <w:iCs/>
                <w:szCs w:val="20"/>
                <w:lang w:val="en-GB" w:eastAsia="ja-JP"/>
              </w:rPr>
              <w:t>supportedBandCombinationList</w:t>
            </w:r>
            <w:r>
              <w:rPr>
                <w:b/>
                <w:bCs/>
                <w:szCs w:val="20"/>
                <w:lang w:val="en-GB" w:eastAsia="ja-JP"/>
              </w:rPr>
              <w:t xml:space="preserve"> (FG 6-5), e.g. since 38.214 section 6.2.1.3 requires switching among carriers of serving cells</w:t>
            </w:r>
          </w:p>
          <w:p>
            <w:pPr>
              <w:pStyle w:val="111"/>
              <w:numPr>
                <w:ilvl w:val="0"/>
                <w:numId w:val="11"/>
              </w:numPr>
              <w:spacing w:after="0" w:line="288" w:lineRule="auto"/>
              <w:ind w:firstLine="402"/>
              <w:rPr>
                <w:b/>
                <w:bCs/>
                <w:szCs w:val="20"/>
                <w:lang w:val="en-GB" w:eastAsia="ja-JP"/>
              </w:rPr>
            </w:pPr>
            <w:r>
              <w:rPr>
                <w:b/>
                <w:bCs/>
                <w:szCs w:val="20"/>
                <w:lang w:val="en-GB" w:eastAsia="ja-JP"/>
              </w:rPr>
              <w:t>srs-TxSwitch (FG 2-55), as inferred by the similar requirement for format 2_3 in 38.214 section 6.1.2.3</w:t>
            </w:r>
          </w:p>
          <w:p>
            <w:pPr>
              <w:spacing w:after="0" w:line="288" w:lineRule="auto"/>
              <w:rPr>
                <w:b/>
                <w:bCs/>
                <w:color w:val="FF0000"/>
                <w:szCs w:val="20"/>
                <w:u w:val="single"/>
                <w:lang w:val="en-GB" w:eastAsia="ja-JP"/>
              </w:rPr>
            </w:pPr>
            <w:r>
              <w:rPr>
                <w:b/>
                <w:bCs/>
                <w:color w:val="FF0000"/>
                <w:szCs w:val="20"/>
                <w:u w:val="single"/>
                <w:lang w:val="en-GB" w:eastAsia="ja-JP"/>
              </w:rPr>
              <w:t>If cross carrier scheduling is to be used for SRS carrier switching triggered by DCI 1_1/1_2, the additional capability is needed:</w:t>
            </w:r>
          </w:p>
          <w:p>
            <w:pPr>
              <w:spacing w:after="0" w:line="288" w:lineRule="auto"/>
              <w:jc w:val="both"/>
              <w:rPr>
                <w:rFonts w:eastAsia="宋体"/>
              </w:rPr>
            </w:pPr>
            <w:r>
              <w:rPr>
                <w:b/>
                <w:bCs/>
                <w:color w:val="FF0000"/>
                <w:szCs w:val="20"/>
                <w:u w:val="single"/>
                <w:lang w:val="en-GB" w:eastAsia="ja-JP"/>
              </w:rPr>
              <w:t>crossCarrierScheduling-SameSCS (FG 6-10) if triggering cell and target cell for A-SRS CS are not the same</w:t>
            </w:r>
          </w:p>
        </w:tc>
      </w:tr>
    </w:tbl>
    <w:p>
      <w:pPr>
        <w:snapToGrid w:val="0"/>
        <w:spacing w:before="72" w:beforeLines="30" w:after="72" w:afterLines="30" w:line="288" w:lineRule="auto"/>
        <w:jc w:val="both"/>
        <w:rPr>
          <w:rFonts w:eastAsia="宋体"/>
        </w:rPr>
      </w:pPr>
      <w:r>
        <w:rPr>
          <w:rFonts w:eastAsia="宋体"/>
        </w:rPr>
        <w:t>From our perspective, w</w:t>
      </w:r>
      <w:r>
        <w:rPr>
          <w:rFonts w:hint="eastAsia" w:eastAsia="宋体"/>
        </w:rPr>
        <w:t xml:space="preserve">e agree with the above UE capability set as minimum set for supporting SRS carrier switching triggered by DCI format 1_1/1_2. </w:t>
      </w:r>
    </w:p>
    <w:p>
      <w:pPr>
        <w:snapToGrid w:val="0"/>
        <w:spacing w:before="72" w:beforeLines="30" w:after="72" w:afterLines="30" w:line="288" w:lineRule="auto"/>
        <w:jc w:val="both"/>
        <w:rPr>
          <w:rFonts w:eastAsia="宋体"/>
        </w:rPr>
      </w:pPr>
    </w:p>
    <w:p>
      <w:pPr>
        <w:snapToGrid w:val="0"/>
        <w:spacing w:before="72" w:beforeLines="30" w:after="72" w:afterLines="30" w:line="288" w:lineRule="auto"/>
        <w:jc w:val="both"/>
        <w:rPr>
          <w:rFonts w:eastAsia="宋体"/>
        </w:rPr>
      </w:pPr>
      <w:r>
        <w:rPr>
          <w:rFonts w:hint="eastAsia" w:eastAsia="宋体"/>
        </w:rPr>
        <w:t>Further, a proposal was updated regarding Question 2.1.2</w:t>
      </w:r>
      <w:r>
        <w:rPr>
          <w:rFonts w:hint="eastAsia" w:eastAsia="宋体"/>
          <w:vertAlign w:val="superscript"/>
        </w:rPr>
        <w:t>[2]</w:t>
      </w:r>
      <w:r>
        <w:rPr>
          <w:rFonts w:hint="eastAsia" w:eastAsia="宋体"/>
        </w:rPr>
        <w:t xml:space="preserve"> as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88" w:lineRule="auto"/>
              <w:rPr>
                <w:b/>
                <w:bCs/>
                <w:u w:val="single"/>
                <w:lang w:val="en-GB" w:eastAsia="ja-JP"/>
              </w:rPr>
            </w:pPr>
            <w:r>
              <w:rPr>
                <w:b/>
                <w:bCs/>
                <w:u w:val="single"/>
                <w:lang w:val="en-GB" w:eastAsia="ja-JP"/>
              </w:rPr>
              <w:t>Proposal 2.1.1 r1:</w:t>
            </w:r>
          </w:p>
          <w:p>
            <w:pPr>
              <w:spacing w:after="0" w:line="288" w:lineRule="auto"/>
              <w:rPr>
                <w:rFonts w:cs="Arial"/>
                <w:b/>
                <w:bCs/>
                <w:lang w:val="en-GB" w:eastAsia="ja-JP"/>
              </w:rPr>
            </w:pPr>
            <w:r>
              <w:rPr>
                <w:b/>
                <w:bCs/>
                <w:lang w:val="en-GB" w:eastAsia="ja-JP"/>
              </w:rPr>
              <w:t>Alt 1 from RAN#114,</w:t>
            </w:r>
            <w:r>
              <w:rPr>
                <w:b/>
                <w:bCs/>
                <w:u w:val="single"/>
                <w:lang w:val="en-GB" w:eastAsia="ja-JP"/>
              </w:rPr>
              <w:t xml:space="preserve"> </w:t>
            </w:r>
            <w:r>
              <w:rPr>
                <w:b/>
                <w:bCs/>
                <w:lang w:val="en-GB" w:eastAsia="ja-JP"/>
              </w:rPr>
              <w:t>“RAN1 concludes that DCI 1_1 and 1_2 triggering are supporte</w:t>
            </w:r>
            <w:r>
              <w:rPr>
                <w:rFonts w:cs="Arial"/>
                <w:b/>
                <w:bCs/>
                <w:lang w:val="en-GB" w:eastAsia="ja-JP"/>
              </w:rPr>
              <w:t xml:space="preserve">d, </w:t>
            </w:r>
            <w:r>
              <w:rPr>
                <w:rFonts w:cs="Arial"/>
                <w:b/>
                <w:bCs/>
                <w:color w:val="FF0000"/>
                <w:u w:val="single"/>
                <w:lang w:val="en-GB" w:eastAsia="ja-JP"/>
              </w:rPr>
              <w:t>subject to existing UE capabilities,</w:t>
            </w:r>
            <w:r>
              <w:rPr>
                <w:rFonts w:cs="Arial"/>
                <w:b/>
                <w:bCs/>
                <w:color w:val="FF0000"/>
                <w:lang w:val="en-GB" w:eastAsia="ja-JP"/>
              </w:rPr>
              <w:t xml:space="preserve"> </w:t>
            </w:r>
            <w:r>
              <w:rPr>
                <w:rFonts w:cs="Arial"/>
                <w:b/>
                <w:bCs/>
                <w:lang w:val="en-GB" w:eastAsia="ja-JP"/>
              </w:rPr>
              <w:t xml:space="preserve">for aperiodic SRS carrier switching in Rel-15” is agreed as </w:t>
            </w:r>
            <w:r>
              <w:rPr>
                <w:rFonts w:cs="Arial"/>
                <w:b/>
                <w:bCs/>
                <w:color w:val="FF0000"/>
                <w:u w:val="single"/>
                <w:lang w:val="en-GB" w:eastAsia="ja-JP"/>
              </w:rPr>
              <w:t>updated</w:t>
            </w:r>
            <w:r>
              <w:rPr>
                <w:rFonts w:cs="Arial"/>
                <w:b/>
                <w:bCs/>
                <w:lang w:val="en-GB" w:eastAsia="ja-JP"/>
              </w:rPr>
              <w:t>, and no new UE capability is defined for the support of DCI 1_1 and 1_2 triggering for aperiodic SRS carrier switching [in the case where DCI 2_3 is not configured and only one uplink carrier is configured with SRS carrier switching].</w:t>
            </w:r>
          </w:p>
          <w:p>
            <w:pPr>
              <w:snapToGrid w:val="0"/>
              <w:spacing w:after="0" w:line="288" w:lineRule="auto"/>
              <w:jc w:val="both"/>
              <w:rPr>
                <w:rFonts w:eastAsia="宋体"/>
              </w:rPr>
            </w:pPr>
            <w:r>
              <w:rPr>
                <w:rFonts w:eastAsiaTheme="minorEastAsia"/>
                <w:b/>
                <w:bCs/>
                <w:u w:val="single"/>
                <w:lang w:val="en-GB"/>
              </w:rPr>
              <w:t>Please provide your views.</w:t>
            </w:r>
          </w:p>
        </w:tc>
      </w:tr>
    </w:tbl>
    <w:p>
      <w:pPr>
        <w:snapToGrid w:val="0"/>
        <w:spacing w:before="72" w:beforeLines="30" w:after="72" w:afterLines="30" w:line="288" w:lineRule="auto"/>
        <w:jc w:val="both"/>
        <w:rPr>
          <w:rFonts w:eastAsia="宋体"/>
        </w:rPr>
      </w:pPr>
      <w:r>
        <w:rPr>
          <w:rFonts w:hint="eastAsia" w:eastAsia="宋体"/>
        </w:rPr>
        <w:t xml:space="preserve">We tend to agree the proposal without content in the brackets. DCI format 2_3 is group common DCI, and DCI format 1_1/1_2 is UE specific DCI. There is no need to restrict only one of them can trigger aperiodic SRS carrier switching for a UE. Both of them should be allowed. SRS carrier switching is </w:t>
      </w:r>
      <w:r>
        <w:rPr>
          <w:rFonts w:eastAsia="宋体"/>
        </w:rPr>
        <w:t xml:space="preserve">dynamically </w:t>
      </w:r>
      <w:r>
        <w:rPr>
          <w:rFonts w:hint="eastAsia" w:eastAsia="宋体"/>
        </w:rPr>
        <w:t xml:space="preserve">scheduled by either DCI format 2_3 or DCI format 1_1/1_2, then network implementation can avoid collision among carrier switching SRSs triggered by DCI format 1_1/1_2 and/or DCI format 2_3. </w:t>
      </w:r>
    </w:p>
    <w:p>
      <w:pPr>
        <w:snapToGrid w:val="0"/>
        <w:spacing w:before="72" w:beforeLines="30" w:after="72" w:afterLines="30" w:line="288" w:lineRule="auto"/>
        <w:jc w:val="both"/>
        <w:rPr>
          <w:rFonts w:eastAsia="宋体"/>
          <w:i/>
          <w:iCs/>
        </w:rPr>
      </w:pPr>
      <w:r>
        <w:rPr>
          <w:rFonts w:hint="eastAsia" w:eastAsia="宋体"/>
          <w:b/>
          <w:i/>
        </w:rPr>
        <w:t>Proposal 1</w:t>
      </w:r>
      <w:r>
        <w:rPr>
          <w:rFonts w:hint="eastAsia"/>
          <w:b/>
          <w:i/>
        </w:rPr>
        <w:t xml:space="preserve">: </w:t>
      </w:r>
      <w:r>
        <w:rPr>
          <w:rFonts w:eastAsia="宋体"/>
          <w:i/>
          <w:iCs/>
        </w:rPr>
        <w:t>Regarding SRS</w:t>
      </w:r>
      <w:r>
        <w:rPr>
          <w:rFonts w:hint="eastAsia" w:eastAsia="宋体"/>
          <w:i/>
          <w:iCs/>
        </w:rPr>
        <w:t xml:space="preserve"> carrier switching of </w:t>
      </w:r>
      <w:r>
        <w:rPr>
          <w:i/>
          <w:iCs/>
          <w:lang w:val="en-GB" w:eastAsia="ja-JP"/>
        </w:rPr>
        <w:t>Alt 1 from RAN#114,</w:t>
      </w:r>
      <w:r>
        <w:rPr>
          <w:rFonts w:eastAsia="宋体"/>
          <w:i/>
          <w:iCs/>
        </w:rPr>
        <w:t xml:space="preserve"> on the top of the updated Proposal 2.1.1 r1 from the FL, we have the suggestion with the following </w:t>
      </w:r>
      <w:r>
        <w:rPr>
          <w:rFonts w:eastAsia="宋体"/>
          <w:i/>
          <w:iCs/>
          <w:color w:val="FF0000"/>
        </w:rPr>
        <w:t>modification</w:t>
      </w:r>
      <w:r>
        <w:rPr>
          <w:rFonts w:hint="eastAsia" w:eastAsia="宋体"/>
          <w:i/>
          <w:iCs/>
        </w:rPr>
        <w:t>:</w:t>
      </w:r>
    </w:p>
    <w:p>
      <w:pPr>
        <w:numPr>
          <w:ilvl w:val="0"/>
          <w:numId w:val="12"/>
        </w:numPr>
        <w:snapToGrid w:val="0"/>
        <w:spacing w:before="72" w:beforeLines="30" w:after="72" w:afterLines="30" w:line="288" w:lineRule="auto"/>
        <w:ind w:left="800" w:leftChars="200" w:hanging="400" w:hangingChars="200"/>
        <w:jc w:val="both"/>
        <w:rPr>
          <w:rFonts w:eastAsia="宋体"/>
          <w:i/>
          <w:iCs/>
        </w:rPr>
      </w:pPr>
      <w:r>
        <w:rPr>
          <w:i/>
          <w:iCs/>
          <w:lang w:val="en-GB" w:eastAsia="ja-JP"/>
        </w:rPr>
        <w:t>“RAN1 concludes that DCI 1_1 and 1_2 triggering are supporte</w:t>
      </w:r>
      <w:r>
        <w:rPr>
          <w:rFonts w:cs="Arial"/>
          <w:i/>
          <w:iCs/>
          <w:lang w:val="en-GB" w:eastAsia="ja-JP"/>
        </w:rPr>
        <w:t xml:space="preserve">d, </w:t>
      </w:r>
      <w:r>
        <w:rPr>
          <w:rFonts w:cs="Arial"/>
          <w:i/>
          <w:iCs/>
          <w:color w:val="FF0000"/>
          <w:u w:val="single"/>
          <w:lang w:val="en-GB" w:eastAsia="ja-JP"/>
        </w:rPr>
        <w:t>subject to existing UE capabilities,</w:t>
      </w:r>
      <w:r>
        <w:rPr>
          <w:rFonts w:cs="Arial"/>
          <w:i/>
          <w:iCs/>
          <w:color w:val="FF0000"/>
          <w:lang w:val="en-GB" w:eastAsia="ja-JP"/>
        </w:rPr>
        <w:t xml:space="preserve"> </w:t>
      </w:r>
      <w:r>
        <w:rPr>
          <w:rFonts w:cs="Arial"/>
          <w:i/>
          <w:iCs/>
          <w:lang w:val="en-GB" w:eastAsia="ja-JP"/>
        </w:rPr>
        <w:t xml:space="preserve">for aperiodic SRS carrier switching in Rel-15” is agreed as </w:t>
      </w:r>
      <w:r>
        <w:rPr>
          <w:rFonts w:cs="Arial"/>
          <w:i/>
          <w:iCs/>
          <w:color w:val="FF0000"/>
          <w:u w:val="single"/>
          <w:lang w:val="en-GB" w:eastAsia="ja-JP"/>
        </w:rPr>
        <w:t>updated</w:t>
      </w:r>
      <w:r>
        <w:rPr>
          <w:rFonts w:cs="Arial"/>
          <w:i/>
          <w:iCs/>
          <w:lang w:val="en-GB" w:eastAsia="ja-JP"/>
        </w:rPr>
        <w:t xml:space="preserve">, and no new UE capability is defined for the support of DCI 1_1 and 1_2 triggering for aperiodic SRS carrier switching </w:t>
      </w:r>
      <w:r>
        <w:rPr>
          <w:rFonts w:cs="Arial"/>
          <w:i/>
          <w:iCs/>
          <w:strike/>
          <w:color w:val="FF0000"/>
          <w:lang w:val="en-GB" w:eastAsia="ja-JP"/>
        </w:rPr>
        <w:t>[in the case where DCI 2_3 is not configured and only one uplink carrier is configured with SRS carrier switching]</w:t>
      </w:r>
      <w:r>
        <w:rPr>
          <w:rFonts w:cs="Arial"/>
          <w:i/>
          <w:iCs/>
          <w:color w:val="FF0000"/>
          <w:lang w:val="en-GB" w:eastAsia="ja-JP"/>
        </w:rPr>
        <w:t>.</w:t>
      </w:r>
    </w:p>
    <w:p>
      <w:pPr>
        <w:numPr>
          <w:ilvl w:val="1"/>
          <w:numId w:val="9"/>
        </w:numPr>
        <w:tabs>
          <w:tab w:val="clear" w:pos="576"/>
        </w:tabs>
        <w:snapToGrid w:val="0"/>
        <w:spacing w:before="120" w:beforeLines="50" w:after="120" w:afterLines="50" w:line="288" w:lineRule="auto"/>
        <w:ind w:left="400" w:hanging="400"/>
        <w:jc w:val="both"/>
        <w:outlineLvl w:val="1"/>
        <w:rPr>
          <w:rFonts w:eastAsia="宋体"/>
          <w:b/>
          <w:sz w:val="28"/>
          <w:szCs w:val="28"/>
        </w:rPr>
      </w:pPr>
      <w:r>
        <w:rPr>
          <w:rFonts w:hint="eastAsia" w:eastAsia="宋体"/>
          <w:b/>
          <w:sz w:val="24"/>
          <w:szCs w:val="24"/>
        </w:rPr>
        <w:t>Issue 2: On serving cell of SRS carrier switching triggered by DCI format 1_1 or 1_2</w:t>
      </w:r>
    </w:p>
    <w:p>
      <w:pPr>
        <w:snapToGrid w:val="0"/>
        <w:spacing w:before="72" w:beforeLines="30" w:after="72" w:afterLines="30" w:line="288" w:lineRule="auto"/>
        <w:jc w:val="both"/>
        <w:rPr>
          <w:rFonts w:eastAsia="宋体"/>
        </w:rPr>
      </w:pPr>
      <w:r>
        <w:rPr>
          <w:rFonts w:hint="eastAsia" w:eastAsia="宋体"/>
        </w:rPr>
        <w:t>Based on discussions in section 2.2</w:t>
      </w:r>
      <w:r>
        <w:rPr>
          <w:rFonts w:hint="eastAsia" w:eastAsia="宋体"/>
          <w:vertAlign w:val="superscript"/>
        </w:rPr>
        <w:t>[2]</w:t>
      </w:r>
      <w:r>
        <w:rPr>
          <w:rFonts w:hint="eastAsia" w:eastAsia="宋体"/>
        </w:rPr>
        <w:t xml:space="preserve">, companies have common understanding as follows, i.e., both self- and cross-carrier scheduling is supported, and current spec does not explicitly specify DCI format 1_1 or 1_2 can trigger SRS carrier switching.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jc w:val="both"/>
              <w:rPr>
                <w:rFonts w:eastAsia="宋体"/>
                <w:i/>
                <w:iCs/>
              </w:rPr>
            </w:pPr>
            <w:r>
              <w:rPr>
                <w:rFonts w:eastAsia="Malgun Gothic"/>
                <w:b/>
                <w:bCs/>
                <w:lang w:val="en-GB" w:eastAsia="ko-KR"/>
              </w:rPr>
              <w:t>“UEs support at least self-scheduling for DCI 1_1/1_2 triggered aperiodic SRS carrier switching.  Cross-carrier scheduling can be additionally supported according to capability for cross-carrier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88" w:lineRule="auto"/>
              <w:rPr>
                <w:rFonts w:eastAsia="PMingLiU"/>
                <w:b/>
                <w:bCs/>
                <w:lang w:val="en-GB" w:eastAsia="zh-TW"/>
              </w:rPr>
            </w:pPr>
            <w:r>
              <w:rPr>
                <w:rFonts w:eastAsia="PMingLiU"/>
                <w:b/>
                <w:bCs/>
                <w:lang w:val="en-GB" w:eastAsia="zh-TW"/>
              </w:rPr>
              <w:t>It seems we can conclude that the following statement is the common understanding:</w:t>
            </w:r>
          </w:p>
          <w:p>
            <w:pPr>
              <w:pStyle w:val="111"/>
              <w:numPr>
                <w:ilvl w:val="0"/>
                <w:numId w:val="13"/>
              </w:numPr>
              <w:spacing w:after="0" w:line="288" w:lineRule="auto"/>
              <w:ind w:left="800" w:leftChars="240" w:hanging="320" w:hangingChars="160"/>
              <w:rPr>
                <w:b/>
                <w:bCs/>
                <w:lang w:val="en-GB" w:eastAsia="ja-JP"/>
              </w:rPr>
            </w:pPr>
            <w:r>
              <w:rPr>
                <w:b/>
                <w:bCs/>
                <w:lang w:val="en-GB" w:eastAsia="ja-JP"/>
              </w:rPr>
              <w:t>That the UE must use SRS resource sets with usage ‘antennaSwitching’ for SRS carrier switching is explicitly specified in the case of triggering with DCI format 2_3, but not for other DCI formats.</w:t>
            </w:r>
          </w:p>
          <w:p>
            <w:pPr>
              <w:pStyle w:val="111"/>
              <w:numPr>
                <w:ilvl w:val="0"/>
                <w:numId w:val="13"/>
              </w:numPr>
              <w:spacing w:after="0" w:line="288" w:lineRule="auto"/>
              <w:ind w:left="800" w:leftChars="240" w:hanging="320" w:hangingChars="160"/>
              <w:rPr>
                <w:rFonts w:eastAsia="Malgun Gothic"/>
                <w:b/>
                <w:bCs/>
                <w:lang w:val="en-GB" w:eastAsia="ko-KR"/>
              </w:rPr>
            </w:pPr>
            <w:r>
              <w:rPr>
                <w:b/>
                <w:bCs/>
                <w:lang w:val="en-GB" w:eastAsia="ja-JP"/>
              </w:rPr>
              <w:t>It is not explicitly stated in L1 specifications that the carrier switching SRS is transmitted on at most one serving cell scheduled by DCI 1_1 or 1_2.</w:t>
            </w:r>
          </w:p>
        </w:tc>
      </w:tr>
    </w:tbl>
    <w:p>
      <w:pPr>
        <w:snapToGrid w:val="0"/>
        <w:spacing w:before="72" w:beforeLines="30" w:after="72" w:afterLines="30" w:line="288" w:lineRule="auto"/>
        <w:jc w:val="both"/>
        <w:rPr>
          <w:rFonts w:eastAsia="宋体"/>
        </w:rPr>
      </w:pPr>
    </w:p>
    <w:p>
      <w:pPr>
        <w:snapToGrid w:val="0"/>
        <w:spacing w:before="72" w:beforeLines="30" w:after="72" w:afterLines="30" w:line="288" w:lineRule="auto"/>
        <w:jc w:val="both"/>
        <w:rPr>
          <w:rFonts w:eastAsia="宋体"/>
        </w:rPr>
      </w:pPr>
      <w:r>
        <w:rPr>
          <w:rFonts w:hint="eastAsia" w:eastAsia="宋体"/>
        </w:rPr>
        <w:t>So a TP</w:t>
      </w:r>
      <w:r>
        <w:rPr>
          <w:rFonts w:hint="eastAsia" w:eastAsia="宋体"/>
          <w:vertAlign w:val="superscript"/>
        </w:rPr>
        <w:t>[2]</w:t>
      </w:r>
      <w:r>
        <w:rPr>
          <w:rFonts w:hint="eastAsia" w:eastAsia="宋体"/>
        </w:rPr>
        <w:t xml:space="preserve"> is proposed as follows: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88" w:lineRule="auto"/>
              <w:rPr>
                <w:rFonts w:eastAsia="Malgun Gothic"/>
                <w:b/>
                <w:bCs/>
                <w:lang w:val="en-GB" w:eastAsia="ko-KR"/>
              </w:rPr>
            </w:pPr>
            <w:r>
              <w:rPr>
                <w:rFonts w:eastAsia="Malgun Gothic"/>
                <w:b/>
                <w:bCs/>
                <w:lang w:val="en-GB" w:eastAsia="ko-KR"/>
              </w:rPr>
              <w:t>Proposal:</w:t>
            </w:r>
          </w:p>
          <w:p>
            <w:pPr>
              <w:spacing w:after="0" w:line="288" w:lineRule="auto"/>
              <w:rPr>
                <w:rFonts w:eastAsia="Malgun Gothic"/>
                <w:b/>
                <w:bCs/>
                <w:lang w:val="en-GB" w:eastAsia="ko-KR"/>
              </w:rPr>
            </w:pPr>
            <w:r>
              <w:rPr>
                <w:rFonts w:eastAsia="Malgun Gothic"/>
                <w:b/>
                <w:bCs/>
                <w:lang w:val="en-GB" w:eastAsia="ko-KR"/>
              </w:rPr>
              <w:t>Add the following text to 38.214 section 6.2.1.3 in a Rel-17/18 CR, according to TP 2.2.1 above:</w:t>
            </w:r>
          </w:p>
          <w:p>
            <w:pPr>
              <w:spacing w:after="0" w:line="288" w:lineRule="auto"/>
              <w:ind w:left="567"/>
              <w:rPr>
                <w:rFonts w:eastAsia="Malgun Gothic"/>
                <w:b/>
                <w:bCs/>
                <w:color w:val="FF0000"/>
                <w:u w:val="single"/>
                <w:lang w:val="en-GB" w:eastAsia="ko-KR"/>
              </w:rPr>
            </w:pPr>
            <w:r>
              <w:rPr>
                <w:rFonts w:eastAsia="Malgun Gothic"/>
                <w:b/>
                <w:bCs/>
                <w:color w:val="FF0000"/>
                <w:u w:val="single"/>
                <w:lang w:val="en-GB" w:eastAsia="ko-KR"/>
              </w:rPr>
              <w:t>For an aperiodic SRS triggered in DCI format 1_1 or 1_2, the UE transmits SRS on one serving cell scheduled by the DCI and the UE in the serving cell transmits the configured one or two SRS resource set(s) with higher layer parameter usage set to ‘antennaSwitching’ and higher layer parameter resourceType in SRS-ResourceSet set to ‘aperiodic’.</w:t>
            </w:r>
          </w:p>
          <w:p>
            <w:pPr>
              <w:spacing w:after="0" w:line="288" w:lineRule="auto"/>
              <w:jc w:val="both"/>
              <w:rPr>
                <w:rFonts w:eastAsia="宋体"/>
              </w:rPr>
            </w:pPr>
            <w:r>
              <w:rPr>
                <w:rFonts w:eastAsia="Malgun Gothic"/>
                <w:b/>
                <w:bCs/>
                <w:u w:val="single"/>
                <w:lang w:val="en-GB" w:eastAsia="ko-KR"/>
              </w:rPr>
              <w:t>Please provide your further comments, if any.</w:t>
            </w:r>
          </w:p>
        </w:tc>
      </w:tr>
    </w:tbl>
    <w:p>
      <w:pPr>
        <w:snapToGrid w:val="0"/>
        <w:spacing w:before="72" w:beforeLines="30" w:after="72" w:afterLines="30" w:line="288" w:lineRule="auto"/>
        <w:jc w:val="both"/>
        <w:rPr>
          <w:rFonts w:eastAsia="宋体"/>
        </w:rPr>
      </w:pPr>
    </w:p>
    <w:p>
      <w:pPr>
        <w:snapToGrid w:val="0"/>
        <w:spacing w:before="72" w:beforeLines="30" w:after="72" w:afterLines="30" w:line="288" w:lineRule="auto"/>
        <w:jc w:val="both"/>
        <w:rPr>
          <w:rFonts w:eastAsia="宋体"/>
        </w:rPr>
      </w:pPr>
      <w:r>
        <w:rPr>
          <w:rFonts w:hint="eastAsia" w:eastAsia="宋体"/>
        </w:rPr>
        <w:t>Regarding the proposal, we have the following analysis:</w:t>
      </w:r>
    </w:p>
    <w:p>
      <w:pPr>
        <w:numPr>
          <w:ilvl w:val="0"/>
          <w:numId w:val="14"/>
        </w:numPr>
        <w:snapToGrid w:val="0"/>
        <w:spacing w:before="72" w:beforeLines="30" w:after="72" w:afterLines="30" w:line="288" w:lineRule="auto"/>
        <w:jc w:val="both"/>
        <w:rPr>
          <w:rFonts w:eastAsia="宋体"/>
        </w:rPr>
      </w:pPr>
      <w:r>
        <w:rPr>
          <w:rFonts w:hint="eastAsia" w:eastAsia="宋体"/>
        </w:rPr>
        <w:t xml:space="preserve">Regarding serving cell determination for </w:t>
      </w:r>
      <w:r>
        <w:rPr>
          <w:rFonts w:hint="eastAsia" w:eastAsia="宋体"/>
          <w:lang w:val="en-GB" w:eastAsia="ko-KR"/>
        </w:rPr>
        <w:t xml:space="preserve">aperiodic SRS triggered in DCI format 1_1 or 1_2, </w:t>
      </w:r>
      <w:r>
        <w:rPr>
          <w:rFonts w:hint="eastAsia" w:eastAsia="宋体"/>
        </w:rPr>
        <w:t xml:space="preserve">it was discussed in RAN1#99 and a conclusion was reached as follows. Note that the issue was proposed in Rel-15, and aimed to identify the case of DCI formats 0_1 and 1_1 from group common DCI format 2_3. DCI formats 0_2 and 1_2 should follow the same </w:t>
      </w:r>
      <w:r>
        <w:rPr>
          <w:rFonts w:eastAsia="宋体"/>
        </w:rPr>
        <w:t>interpretation</w:t>
      </w:r>
      <w:r>
        <w:rPr>
          <w:rFonts w:hint="eastAsia" w:eastAsia="宋体"/>
        </w:rPr>
        <w:t xml:space="preserve"> as DCI formats 0_1 and 1_1 respectively. So it seems clear on this issue with the following conclusion. </w:t>
      </w:r>
    </w:p>
    <w:tbl>
      <w:tblPr>
        <w:tblStyle w:val="24"/>
        <w:tblW w:w="0" w:type="auto"/>
        <w:tblInd w:w="4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9" w:type="dxa"/>
          </w:tcPr>
          <w:p>
            <w:pPr>
              <w:spacing w:after="0"/>
            </w:pPr>
            <w:r>
              <w:rPr>
                <w:b/>
                <w:bCs/>
              </w:rPr>
              <w:t>R1-191194</w:t>
            </w:r>
            <w:bookmarkStart w:id="0" w:name="_Hlt25050083"/>
            <w:bookmarkStart w:id="1" w:name="_Hlt25050084"/>
            <w:r>
              <w:rPr>
                <w:b/>
                <w:bCs/>
              </w:rPr>
              <w:t>1</w:t>
            </w:r>
            <w:bookmarkEnd w:id="0"/>
            <w:bookmarkEnd w:id="1"/>
            <w:r>
              <w:tab/>
            </w:r>
            <w:r>
              <w:t>Discussion on carrier index in SRS triggering</w:t>
            </w:r>
            <w:r>
              <w:tab/>
            </w:r>
            <w:r>
              <w:t>ZTE</w:t>
            </w:r>
          </w:p>
          <w:p>
            <w:pPr>
              <w:spacing w:after="0"/>
              <w:rPr>
                <w:b/>
                <w:bCs/>
              </w:rPr>
            </w:pPr>
            <w:r>
              <w:rPr>
                <w:b/>
                <w:bCs/>
              </w:rPr>
              <w:t>Conclusion</w:t>
            </w:r>
          </w:p>
          <w:p>
            <w:pPr>
              <w:spacing w:after="0"/>
            </w:pPr>
            <w:r>
              <w:t>If the UE is configured with a carrier indicator field by CrossCarrierSchedulingConfig, the serving cell of triggered SRS is indicated by the carrier indicator field,  as defined in Subclause 10.1 of [5, TS 38.213].</w:t>
            </w:r>
          </w:p>
          <w:p>
            <w:pPr>
              <w:numPr>
                <w:ilvl w:val="0"/>
                <w:numId w:val="15"/>
              </w:numPr>
              <w:spacing w:after="0"/>
              <w:rPr>
                <w:rFonts w:eastAsia="宋体"/>
              </w:rPr>
            </w:pPr>
            <w:r>
              <w:t>Applies only for DCI format 0_1 and 1_1</w:t>
            </w:r>
          </w:p>
        </w:tc>
      </w:tr>
    </w:tbl>
    <w:p>
      <w:pPr>
        <w:numPr>
          <w:ilvl w:val="0"/>
          <w:numId w:val="14"/>
        </w:numPr>
        <w:snapToGrid w:val="0"/>
        <w:spacing w:before="72" w:beforeLines="30" w:after="72" w:afterLines="30" w:line="288" w:lineRule="auto"/>
        <w:jc w:val="both"/>
        <w:rPr>
          <w:rFonts w:eastAsia="宋体"/>
        </w:rPr>
      </w:pPr>
      <w:r>
        <w:rPr>
          <w:rFonts w:hint="eastAsia" w:eastAsia="宋体"/>
        </w:rPr>
        <w:t xml:space="preserve">According to 38.212 as follows, DCI format 1_1/1_2 can trigger aperiodic SRS resource set without restriction of usage of </w:t>
      </w:r>
      <w:r>
        <w:rPr>
          <w:rFonts w:eastAsia="宋体"/>
        </w:rPr>
        <w:t>“</w:t>
      </w:r>
      <w:r>
        <w:rPr>
          <w:rFonts w:hint="eastAsia" w:eastAsia="宋体"/>
        </w:rPr>
        <w:t>antenna switching</w:t>
      </w:r>
      <w:r>
        <w:rPr>
          <w:rFonts w:eastAsia="宋体"/>
        </w:rPr>
        <w:t>”</w:t>
      </w:r>
      <w:r>
        <w:rPr>
          <w:rFonts w:hint="eastAsia" w:eastAsia="宋体"/>
        </w:rPr>
        <w:t xml:space="preserve">, i.e., other usage types aperiodic SRS can also be triggered. And the above conclusion also has no restriction for usage of SRS resource set, so we would not prefer only </w:t>
      </w:r>
      <w:r>
        <w:rPr>
          <w:rFonts w:eastAsia="宋体"/>
        </w:rPr>
        <w:t>“</w:t>
      </w:r>
      <w:r>
        <w:rPr>
          <w:rFonts w:hint="eastAsia" w:eastAsia="宋体"/>
        </w:rPr>
        <w:t>antenna switching</w:t>
      </w:r>
      <w:r>
        <w:rPr>
          <w:rFonts w:eastAsia="宋体"/>
        </w:rPr>
        <w:t>”</w:t>
      </w:r>
      <w:r>
        <w:rPr>
          <w:rFonts w:hint="eastAsia" w:eastAsia="宋体"/>
        </w:rPr>
        <w:t xml:space="preserve"> is specified as in above TP</w:t>
      </w:r>
      <w:r>
        <w:rPr>
          <w:rFonts w:hint="eastAsia" w:eastAsia="宋体"/>
          <w:vertAlign w:val="superscript"/>
        </w:rPr>
        <w:t>[2]</w:t>
      </w:r>
      <w:r>
        <w:rPr>
          <w:rFonts w:hint="eastAsia" w:eastAsia="宋体"/>
        </w:rPr>
        <w:t>.</w:t>
      </w:r>
    </w:p>
    <w:p>
      <w:pPr>
        <w:numPr>
          <w:ilvl w:val="0"/>
          <w:numId w:val="14"/>
        </w:numPr>
        <w:snapToGrid w:val="0"/>
        <w:spacing w:before="72" w:beforeLines="30" w:after="72" w:afterLines="30" w:line="288" w:lineRule="auto"/>
        <w:jc w:val="both"/>
        <w:rPr>
          <w:rFonts w:eastAsia="宋体"/>
        </w:rPr>
      </w:pPr>
      <w:r>
        <w:rPr>
          <w:rFonts w:hint="eastAsia" w:eastAsia="宋体"/>
        </w:rPr>
        <w:t xml:space="preserve">Regarding </w:t>
      </w:r>
      <w:r>
        <w:rPr>
          <w:rFonts w:eastAsia="宋体"/>
        </w:rPr>
        <w:t>“</w:t>
      </w:r>
      <w:r>
        <w:rPr>
          <w:rFonts w:hint="eastAsia" w:eastAsia="宋体"/>
        </w:rPr>
        <w:t>one or two SRS resource set(s)</w:t>
      </w:r>
      <w:r>
        <w:rPr>
          <w:rFonts w:eastAsia="宋体"/>
        </w:rPr>
        <w:t>”</w:t>
      </w:r>
      <w:r>
        <w:rPr>
          <w:rFonts w:hint="eastAsia" w:eastAsia="宋体"/>
        </w:rPr>
        <w:t>, we tend to agree not mentioning the number of SRS resource sets, i.e., just remove the restriction of number of SRS resource sets</w:t>
      </w:r>
      <w:r>
        <w:rPr>
          <w:rFonts w:eastAsia="宋体"/>
        </w:rPr>
        <w:t xml:space="preserve"> (for instance, for 1</w:t>
      </w:r>
      <w:r>
        <w:rPr>
          <w:rFonts w:hint="eastAsia" w:eastAsia="宋体"/>
        </w:rPr>
        <w:t>T</w:t>
      </w:r>
      <w:r>
        <w:rPr>
          <w:rFonts w:eastAsia="宋体"/>
        </w:rPr>
        <w:t>4R, we additionally support up to 4 SRS resource sets for antenna switching)</w:t>
      </w:r>
      <w:r>
        <w:rPr>
          <w:rFonts w:hint="eastAsia" w:eastAsia="宋体"/>
        </w:rPr>
        <w:t xml:space="preserve">. </w:t>
      </w:r>
    </w:p>
    <w:p>
      <w:pPr>
        <w:snapToGrid w:val="0"/>
        <w:spacing w:before="72" w:beforeLines="30" w:after="72" w:afterLines="30" w:line="288" w:lineRule="auto"/>
        <w:jc w:val="both"/>
        <w:rPr>
          <w:rFonts w:eastAsia="宋体"/>
        </w:rPr>
      </w:pPr>
      <w:r>
        <w:rPr>
          <w:rFonts w:hint="eastAsia" w:eastAsia="宋体"/>
        </w:rPr>
        <w:t>Therefore, we don</w:t>
      </w:r>
      <w:r>
        <w:rPr>
          <w:rFonts w:eastAsia="宋体"/>
        </w:rPr>
        <w:t>’</w:t>
      </w:r>
      <w:r>
        <w:rPr>
          <w:rFonts w:hint="eastAsia" w:eastAsia="宋体"/>
        </w:rPr>
        <w:t xml:space="preserve">t think the above TP </w:t>
      </w:r>
      <w:r>
        <w:rPr>
          <w:rFonts w:eastAsia="宋体"/>
        </w:rPr>
        <w:t xml:space="preserve">need to be </w:t>
      </w:r>
      <w:r>
        <w:rPr>
          <w:rFonts w:hint="eastAsia" w:eastAsia="宋体"/>
        </w:rPr>
        <w:t>specif</w:t>
      </w:r>
      <w:r>
        <w:rPr>
          <w:rFonts w:eastAsia="宋体"/>
        </w:rPr>
        <w:t>ied, and then</w:t>
      </w:r>
      <w:r>
        <w:rPr>
          <w:rFonts w:hint="eastAsia" w:eastAsia="宋体"/>
        </w:rPr>
        <w:t xml:space="preserve"> a conclusion is </w:t>
      </w:r>
      <w:r>
        <w:rPr>
          <w:rFonts w:eastAsia="宋体"/>
        </w:rPr>
        <w:t>sufficient</w:t>
      </w:r>
      <w:r>
        <w:rPr>
          <w:rFonts w:hint="eastAsia" w:eastAsia="宋体"/>
        </w:rPr>
        <w:t xml:space="preserve"> if companies would like to clarify the further details, e.g., DCI format 1_2, or 0_2.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rFonts w:eastAsia="宋体"/>
                <w:b/>
                <w:lang w:val="en-US" w:eastAsia="zh-CN"/>
              </w:rPr>
            </w:pPr>
            <w:r>
              <w:rPr>
                <w:rFonts w:ascii="Times New Roman" w:hAnsi="Times New Roman" w:eastAsia="宋体"/>
                <w:b/>
                <w:i/>
                <w:iCs/>
                <w:lang w:val="en-US" w:eastAsia="zh-CN"/>
              </w:rPr>
              <w:t>Excerpt from TS 38.212</w:t>
            </w:r>
            <w:r>
              <w:rPr>
                <w:rFonts w:hint="eastAsia" w:ascii="Times New Roman" w:hAnsi="Times New Roman" w:eastAsia="宋体"/>
                <w:b/>
                <w:i/>
                <w:iCs/>
                <w:lang w:val="en-US" w:eastAsia="zh-CN"/>
              </w:rPr>
              <w:t>:</w:t>
            </w:r>
          </w:p>
          <w:p>
            <w:pPr>
              <w:pStyle w:val="40"/>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24: SRS request </w:t>
            </w:r>
          </w:p>
          <w:tbl>
            <w:tblPr>
              <w:tblStyle w:val="23"/>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5"/>
              <w:gridCol w:w="3000"/>
              <w:gridCol w:w="3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2365" w:type="dxa"/>
                  <w:shd w:val="clear" w:color="auto" w:fill="D9D9D9"/>
                  <w:vAlign w:val="center"/>
                </w:tcPr>
                <w:p>
                  <w:pPr>
                    <w:pStyle w:val="63"/>
                    <w:rPr>
                      <w:lang w:eastAsia="zh-CN"/>
                    </w:rPr>
                  </w:pPr>
                  <w:r>
                    <w:rPr>
                      <w:rFonts w:hint="eastAsia"/>
                      <w:lang w:eastAsia="zh-CN"/>
                    </w:rPr>
                    <w:t>Value of SRS request field</w:t>
                  </w:r>
                </w:p>
              </w:tc>
              <w:tc>
                <w:tcPr>
                  <w:tcW w:w="3000" w:type="dxa"/>
                  <w:shd w:val="clear" w:color="auto" w:fill="D9D9D9"/>
                  <w:vAlign w:val="center"/>
                </w:tcPr>
                <w:p>
                  <w:pPr>
                    <w:pStyle w:val="63"/>
                    <w:rPr>
                      <w:lang w:eastAsia="zh-CN"/>
                    </w:rPr>
                  </w:pPr>
                  <w:r>
                    <w:rPr>
                      <w:lang w:eastAsia="zh-CN"/>
                    </w:rPr>
                    <w:t xml:space="preserve">Triggered aperiodic </w:t>
                  </w:r>
                  <w:r>
                    <w:rPr>
                      <w:rFonts w:hint="eastAsia"/>
                      <w:lang w:eastAsia="zh-CN"/>
                    </w:rPr>
                    <w:t>SRS resource set</w:t>
                  </w:r>
                  <w:r>
                    <w:rPr>
                      <w:lang w:eastAsia="zh-CN"/>
                    </w:rPr>
                    <w:t>(s)</w:t>
                  </w:r>
                  <w:r>
                    <w:rPr>
                      <w:rFonts w:hint="eastAsia"/>
                      <w:lang w:eastAsia="zh-CN"/>
                    </w:rPr>
                    <w:t xml:space="preserve"> for DCI format 0_1, </w:t>
                  </w:r>
                  <w:r>
                    <w:rPr>
                      <w:lang w:eastAsia="zh-CN"/>
                    </w:rPr>
                    <w:t xml:space="preserve">0_2, </w:t>
                  </w:r>
                  <w:r>
                    <w:rPr>
                      <w:rFonts w:hint="eastAsia"/>
                      <w:lang w:eastAsia="zh-CN"/>
                    </w:rPr>
                    <w:t>1_</w:t>
                  </w:r>
                  <w:r>
                    <w:rPr>
                      <w:lang w:eastAsia="zh-CN"/>
                    </w:rPr>
                    <w:t>1</w:t>
                  </w:r>
                  <w:r>
                    <w:rPr>
                      <w:rFonts w:hint="eastAsia"/>
                      <w:lang w:eastAsia="zh-CN"/>
                    </w:rPr>
                    <w:t xml:space="preserve">, </w:t>
                  </w:r>
                  <w:r>
                    <w:rPr>
                      <w:lang w:eastAsia="zh-CN"/>
                    </w:rPr>
                    <w:t xml:space="preserve">1_2, </w:t>
                  </w:r>
                  <w:r>
                    <w:rPr>
                      <w:rFonts w:hint="eastAsia"/>
                      <w:color w:val="FF0000"/>
                      <w:lang w:eastAsia="zh-CN"/>
                    </w:rPr>
                    <w:t xml:space="preserve">and 2_3 configured with higher layer parameter </w:t>
                  </w:r>
                  <w:r>
                    <w:rPr>
                      <w:rFonts w:hint="eastAsia"/>
                      <w:i/>
                      <w:color w:val="FF0000"/>
                      <w:lang w:eastAsia="zh-CN"/>
                    </w:rPr>
                    <w:t>srs-TPC-PDCCH-Group</w:t>
                  </w:r>
                  <w:r>
                    <w:rPr>
                      <w:rFonts w:hint="eastAsia"/>
                      <w:color w:val="FF0000"/>
                      <w:lang w:eastAsia="zh-CN"/>
                    </w:rPr>
                    <w:t xml:space="preserve"> set to </w:t>
                  </w:r>
                  <w:r>
                    <w:rPr>
                      <w:color w:val="FF0000"/>
                      <w:lang w:eastAsia="zh-CN"/>
                    </w:rPr>
                    <w:t>'</w:t>
                  </w:r>
                  <w:r>
                    <w:rPr>
                      <w:rFonts w:hint="eastAsia"/>
                      <w:color w:val="FF0000"/>
                      <w:lang w:eastAsia="zh-CN"/>
                    </w:rPr>
                    <w:t>typeB</w:t>
                  </w:r>
                  <w:r>
                    <w:rPr>
                      <w:color w:val="FF0000"/>
                      <w:lang w:eastAsia="zh-CN"/>
                    </w:rPr>
                    <w:t>'</w:t>
                  </w:r>
                </w:p>
              </w:tc>
              <w:tc>
                <w:tcPr>
                  <w:tcW w:w="3733" w:type="dxa"/>
                  <w:shd w:val="clear" w:color="auto" w:fill="D9D9D9"/>
                </w:tcPr>
                <w:p>
                  <w:pPr>
                    <w:pStyle w:val="63"/>
                    <w:rPr>
                      <w:lang w:eastAsia="zh-CN"/>
                    </w:rPr>
                  </w:pPr>
                  <w:r>
                    <w:rPr>
                      <w:lang w:eastAsia="zh-CN"/>
                    </w:rPr>
                    <w:t xml:space="preserve">Triggered aperiodic </w:t>
                  </w:r>
                  <w:r>
                    <w:rPr>
                      <w:rFonts w:hint="eastAsia"/>
                      <w:lang w:eastAsia="zh-CN"/>
                    </w:rPr>
                    <w:t>SRS resource set</w:t>
                  </w:r>
                  <w:r>
                    <w:rPr>
                      <w:lang w:eastAsia="zh-CN"/>
                    </w:rPr>
                    <w:t>(s)</w:t>
                  </w:r>
                  <w:r>
                    <w:rPr>
                      <w:rFonts w:hint="eastAsia"/>
                      <w:lang w:eastAsia="zh-CN"/>
                    </w:rPr>
                    <w:t xml:space="preserve"> for DCI format 2_3 configured with higher layer parameter </w:t>
                  </w:r>
                  <w:r>
                    <w:rPr>
                      <w:rFonts w:hint="eastAsia"/>
                      <w:i/>
                      <w:lang w:eastAsia="zh-CN"/>
                    </w:rPr>
                    <w:t>srs-TPC-PDCCH-Group</w:t>
                  </w:r>
                  <w:r>
                    <w:rPr>
                      <w:rFonts w:hint="eastAsia"/>
                      <w:lang w:eastAsia="zh-CN"/>
                    </w:rPr>
                    <w:t xml:space="preserve"> set to </w:t>
                  </w:r>
                  <w:r>
                    <w:rPr>
                      <w:lang w:eastAsia="zh-CN"/>
                    </w:rPr>
                    <w:t>'</w:t>
                  </w:r>
                  <w:r>
                    <w:rPr>
                      <w:rFonts w:hint="eastAsia"/>
                      <w:lang w:eastAsia="zh-CN"/>
                    </w:rPr>
                    <w:t>typeA</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5" w:type="dxa"/>
                  <w:shd w:val="clear" w:color="auto" w:fill="auto"/>
                  <w:vAlign w:val="center"/>
                </w:tcPr>
                <w:p>
                  <w:pPr>
                    <w:pStyle w:val="42"/>
                    <w:rPr>
                      <w:lang w:eastAsia="zh-CN"/>
                    </w:rPr>
                  </w:pPr>
                  <w:r>
                    <w:rPr>
                      <w:rFonts w:hint="eastAsia"/>
                      <w:lang w:eastAsia="zh-CN"/>
                    </w:rPr>
                    <w:t>00</w:t>
                  </w:r>
                </w:p>
              </w:tc>
              <w:tc>
                <w:tcPr>
                  <w:tcW w:w="3000" w:type="dxa"/>
                  <w:shd w:val="clear" w:color="auto" w:fill="auto"/>
                  <w:vAlign w:val="center"/>
                </w:tcPr>
                <w:p>
                  <w:pPr>
                    <w:pStyle w:val="43"/>
                    <w:rPr>
                      <w:sz w:val="16"/>
                      <w:szCs w:val="16"/>
                      <w:lang w:eastAsia="zh-CN"/>
                    </w:rPr>
                  </w:pPr>
                  <w:r>
                    <w:t>No aperiodic SRS resource set triggered</w:t>
                  </w:r>
                </w:p>
              </w:tc>
              <w:tc>
                <w:tcPr>
                  <w:tcW w:w="3733" w:type="dxa"/>
                </w:tcPr>
                <w:p>
                  <w:pPr>
                    <w:pStyle w:val="43"/>
                    <w:rPr>
                      <w:lang w:eastAsia="zh-CN"/>
                    </w:rPr>
                  </w:pPr>
                  <w: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5" w:type="dxa"/>
                  <w:shd w:val="clear" w:color="auto" w:fill="auto"/>
                  <w:vAlign w:val="center"/>
                </w:tcPr>
                <w:p>
                  <w:pPr>
                    <w:pStyle w:val="42"/>
                    <w:rPr>
                      <w:lang w:eastAsia="zh-CN"/>
                    </w:rPr>
                  </w:pPr>
                  <w:r>
                    <w:rPr>
                      <w:rFonts w:hint="eastAsia"/>
                      <w:lang w:eastAsia="zh-CN"/>
                    </w:rPr>
                    <w:t>01</w:t>
                  </w:r>
                </w:p>
              </w:tc>
              <w:tc>
                <w:tcPr>
                  <w:tcW w:w="3000" w:type="dxa"/>
                  <w:shd w:val="clear" w:color="auto" w:fill="auto"/>
                  <w:vAlign w:val="center"/>
                </w:tcPr>
                <w:p>
                  <w:pPr>
                    <w:pStyle w:val="43"/>
                  </w:pPr>
                  <w:r>
                    <w:t xml:space="preserve">SRS resource set(s) configured by </w:t>
                  </w:r>
                  <w:r>
                    <w:rPr>
                      <w:i/>
                    </w:rPr>
                    <w:t xml:space="preserve">SRS-ResourceSet </w:t>
                  </w:r>
                  <w:r>
                    <w:t xml:space="preserve">with higher layer parameter </w:t>
                  </w:r>
                  <w:r>
                    <w:rPr>
                      <w:i/>
                      <w:iCs/>
                    </w:rPr>
                    <w:t>aperiodicSRS-ResourceTrigger</w:t>
                  </w:r>
                  <w:r>
                    <w:t xml:space="preserve"> set to 1 or an entry in </w:t>
                  </w:r>
                  <w:r>
                    <w:rPr>
                      <w:i/>
                      <w:iCs/>
                    </w:rPr>
                    <w:t>aperiodicSRS-ResourceTriggerList</w:t>
                  </w:r>
                  <w:r>
                    <w:t xml:space="preserve"> set to 1</w:t>
                  </w:r>
                </w:p>
                <w:p>
                  <w:pPr>
                    <w:pStyle w:val="43"/>
                  </w:pPr>
                </w:p>
                <w:p>
                  <w:pPr>
                    <w:pStyle w:val="43"/>
                    <w:rPr>
                      <w:sz w:val="16"/>
                      <w:szCs w:val="16"/>
                      <w:lang w:eastAsia="zh-CN"/>
                    </w:rPr>
                  </w:pPr>
                  <w:r>
                    <w:t xml:space="preserve">SRS resource set(s) configured by </w:t>
                  </w:r>
                  <w:r>
                    <w:rPr>
                      <w:i/>
                    </w:rPr>
                    <w:t xml:space="preserve">SRS-PosResourceSet </w:t>
                  </w:r>
                  <w:r>
                    <w:t xml:space="preserve">with an entry in </w:t>
                  </w:r>
                  <w:r>
                    <w:rPr>
                      <w:i/>
                      <w:iCs/>
                    </w:rPr>
                    <w:t>aperiodicSRS-ResourceTriggerList</w:t>
                  </w:r>
                  <w:r>
                    <w:t xml:space="preserve"> set to 1 when triggered by DCI formats 0_1, 0_2, 1_1, and 1_2</w:t>
                  </w:r>
                </w:p>
              </w:tc>
              <w:tc>
                <w:tcPr>
                  <w:tcW w:w="3733" w:type="dxa"/>
                </w:tcPr>
                <w:p>
                  <w:pPr>
                    <w:pStyle w:val="43"/>
                    <w:rPr>
                      <w:lang w:eastAsia="zh-CN"/>
                    </w:rPr>
                  </w:pPr>
                  <w:r>
                    <w:rPr>
                      <w:rFonts w:hint="eastAsia"/>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Pr>
                      <w:rFonts w:hint="eastAsia"/>
                      <w:lang w:eastAsia="zh-CN"/>
                    </w:rPr>
                    <w:t xml:space="preserve"> set to </w:t>
                  </w:r>
                  <w:r>
                    <w:rPr>
                      <w:lang w:eastAsia="zh-CN"/>
                    </w:rPr>
                    <w:t>'</w:t>
                  </w:r>
                  <w:r>
                    <w:rPr>
                      <w:i/>
                      <w:lang w:eastAsia="zh-CN"/>
                    </w:rPr>
                    <w:t>antennaSwitching</w:t>
                  </w:r>
                  <w:r>
                    <w:rPr>
                      <w:lang w:eastAsia="zh-CN"/>
                    </w:rPr>
                    <w:t>'</w:t>
                  </w:r>
                  <w:r>
                    <w:rPr>
                      <w:rFonts w:hint="eastAsia"/>
                      <w:lang w:eastAsia="zh-CN"/>
                    </w:rPr>
                    <w:t xml:space="preserve"> and </w:t>
                  </w:r>
                  <w:r>
                    <w:rPr>
                      <w:rFonts w:hint="eastAsia"/>
                      <w:i/>
                      <w:lang w:eastAsia="zh-CN"/>
                    </w:rPr>
                    <w:t>resourceType</w:t>
                  </w:r>
                  <w:r>
                    <w:rPr>
                      <w:rFonts w:hint="eastAsia"/>
                      <w:lang w:eastAsia="zh-CN"/>
                    </w:rPr>
                    <w:t xml:space="preserve"> in </w:t>
                  </w:r>
                  <w:r>
                    <w:rPr>
                      <w:rFonts w:hint="eastAsia"/>
                      <w:i/>
                      <w:lang w:eastAsia="zh-CN"/>
                    </w:rPr>
                    <w:t>SRS-ResourceSet</w:t>
                  </w:r>
                  <w:r>
                    <w:rPr>
                      <w:rFonts w:hint="eastAsia"/>
                      <w:lang w:eastAsia="zh-CN"/>
                    </w:rPr>
                    <w:t xml:space="preserve"> set to </w:t>
                  </w:r>
                  <w:r>
                    <w:rPr>
                      <w:lang w:eastAsia="zh-CN"/>
                    </w:rPr>
                    <w:t>'</w:t>
                  </w:r>
                  <w:r>
                    <w:rPr>
                      <w:rFonts w:hint="eastAsia"/>
                      <w:lang w:eastAsia="zh-CN"/>
                    </w:rPr>
                    <w:t>aperiodic</w:t>
                  </w:r>
                  <w:r>
                    <w:rPr>
                      <w:lang w:eastAsia="zh-CN"/>
                    </w:rPr>
                    <w:t>'</w:t>
                  </w:r>
                  <w:r>
                    <w:rPr>
                      <w:rFonts w:hint="eastAsia"/>
                      <w:lang w:eastAsia="zh-CN"/>
                    </w:rPr>
                    <w:t xml:space="preserve"> for a 1</w:t>
                  </w:r>
                  <w:r>
                    <w:rPr>
                      <w:rFonts w:hint="eastAsia"/>
                      <w:vertAlign w:val="superscript"/>
                      <w:lang w:eastAsia="zh-CN"/>
                    </w:rPr>
                    <w:t>st</w:t>
                  </w:r>
                  <w:r>
                    <w:rPr>
                      <w:rFonts w:hint="eastAsia"/>
                      <w:lang w:eastAsia="zh-CN"/>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5" w:type="dxa"/>
                  <w:shd w:val="clear" w:color="auto" w:fill="auto"/>
                  <w:vAlign w:val="center"/>
                </w:tcPr>
                <w:p>
                  <w:pPr>
                    <w:pStyle w:val="42"/>
                    <w:rPr>
                      <w:lang w:eastAsia="zh-CN"/>
                    </w:rPr>
                  </w:pPr>
                  <w:r>
                    <w:rPr>
                      <w:rFonts w:hint="eastAsia"/>
                      <w:lang w:eastAsia="zh-CN"/>
                    </w:rPr>
                    <w:t>10</w:t>
                  </w:r>
                </w:p>
              </w:tc>
              <w:tc>
                <w:tcPr>
                  <w:tcW w:w="3000" w:type="dxa"/>
                  <w:shd w:val="clear" w:color="auto" w:fill="auto"/>
                  <w:vAlign w:val="center"/>
                </w:tcPr>
                <w:p>
                  <w:pPr>
                    <w:pStyle w:val="43"/>
                  </w:pPr>
                  <w:r>
                    <w:t xml:space="preserve">SRS resource set(s) configured by </w:t>
                  </w:r>
                  <w:r>
                    <w:rPr>
                      <w:i/>
                    </w:rPr>
                    <w:t xml:space="preserve">SRS-ResourceSet </w:t>
                  </w:r>
                  <w:r>
                    <w:t xml:space="preserve">with higher layer parameter </w:t>
                  </w:r>
                  <w:r>
                    <w:rPr>
                      <w:i/>
                      <w:iCs/>
                    </w:rPr>
                    <w:t>aperiodicSRS-ResourceTrigger</w:t>
                  </w:r>
                  <w:r>
                    <w:t xml:space="preserve"> set to 2 or an entry in </w:t>
                  </w:r>
                  <w:r>
                    <w:rPr>
                      <w:i/>
                      <w:iCs/>
                    </w:rPr>
                    <w:t>aperiodicSRS-ResourceTriggerList</w:t>
                  </w:r>
                  <w:r>
                    <w:t xml:space="preserve"> set to 2</w:t>
                  </w:r>
                </w:p>
                <w:p>
                  <w:pPr>
                    <w:pStyle w:val="43"/>
                  </w:pPr>
                </w:p>
                <w:p>
                  <w:pPr>
                    <w:pStyle w:val="43"/>
                    <w:rPr>
                      <w:sz w:val="16"/>
                      <w:szCs w:val="16"/>
                      <w:lang w:eastAsia="zh-CN"/>
                    </w:rPr>
                  </w:pPr>
                  <w:r>
                    <w:t xml:space="preserve">SRS resource set(s) configured by </w:t>
                  </w:r>
                  <w:r>
                    <w:rPr>
                      <w:i/>
                    </w:rPr>
                    <w:t xml:space="preserve">SRS-PosResourceSet </w:t>
                  </w:r>
                  <w:r>
                    <w:t xml:space="preserve">with an entry in </w:t>
                  </w:r>
                  <w:r>
                    <w:rPr>
                      <w:i/>
                      <w:iCs/>
                    </w:rPr>
                    <w:t>aperiodicSRS-ResourceTriggerList</w:t>
                  </w:r>
                  <w:r>
                    <w:t xml:space="preserve"> set to 2 when triggered by DCI formats 0_1, 0_2, 1_1, and 1_2</w:t>
                  </w:r>
                </w:p>
              </w:tc>
              <w:tc>
                <w:tcPr>
                  <w:tcW w:w="3733" w:type="dxa"/>
                </w:tcPr>
                <w:p>
                  <w:pPr>
                    <w:pStyle w:val="43"/>
                  </w:pPr>
                  <w:r>
                    <w:rPr>
                      <w:rFonts w:hint="eastAsia"/>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Pr>
                      <w:rFonts w:hint="eastAsia"/>
                      <w:lang w:eastAsia="zh-CN"/>
                    </w:rPr>
                    <w:t xml:space="preserve"> set to </w:t>
                  </w:r>
                  <w:r>
                    <w:rPr>
                      <w:lang w:eastAsia="zh-CN"/>
                    </w:rPr>
                    <w:t>'</w:t>
                  </w:r>
                  <w:r>
                    <w:rPr>
                      <w:i/>
                      <w:lang w:eastAsia="zh-CN"/>
                    </w:rPr>
                    <w:t>antennaSwitching</w:t>
                  </w:r>
                  <w:r>
                    <w:rPr>
                      <w:lang w:eastAsia="zh-CN"/>
                    </w:rPr>
                    <w:t>'</w:t>
                  </w:r>
                  <w:r>
                    <w:rPr>
                      <w:rFonts w:hint="eastAsia"/>
                      <w:lang w:eastAsia="zh-CN"/>
                    </w:rPr>
                    <w:t xml:space="preserve"> and </w:t>
                  </w:r>
                  <w:r>
                    <w:rPr>
                      <w:rFonts w:hint="eastAsia"/>
                      <w:i/>
                      <w:lang w:eastAsia="zh-CN"/>
                    </w:rPr>
                    <w:t>resourceType</w:t>
                  </w:r>
                  <w:r>
                    <w:rPr>
                      <w:rFonts w:hint="eastAsia"/>
                      <w:lang w:eastAsia="zh-CN"/>
                    </w:rPr>
                    <w:t xml:space="preserve"> in </w:t>
                  </w:r>
                  <w:r>
                    <w:rPr>
                      <w:rFonts w:hint="eastAsia"/>
                      <w:i/>
                      <w:lang w:eastAsia="zh-CN"/>
                    </w:rPr>
                    <w:t>SRS-ResourceSet</w:t>
                  </w:r>
                  <w:r>
                    <w:rPr>
                      <w:rFonts w:hint="eastAsia"/>
                      <w:lang w:eastAsia="zh-CN"/>
                    </w:rPr>
                    <w:t xml:space="preserve"> set to </w:t>
                  </w:r>
                  <w:r>
                    <w:rPr>
                      <w:lang w:eastAsia="zh-CN"/>
                    </w:rPr>
                    <w:t>'</w:t>
                  </w:r>
                  <w:r>
                    <w:rPr>
                      <w:rFonts w:hint="eastAsia"/>
                      <w:lang w:eastAsia="zh-CN"/>
                    </w:rPr>
                    <w:t>aperiodic</w:t>
                  </w:r>
                  <w:r>
                    <w:rPr>
                      <w:lang w:eastAsia="zh-CN"/>
                    </w:rPr>
                    <w:t>'</w:t>
                  </w:r>
                  <w:r>
                    <w:rPr>
                      <w:rFonts w:hint="eastAsia"/>
                      <w:lang w:eastAsia="zh-CN"/>
                    </w:rPr>
                    <w:t xml:space="preserve"> for a 2</w:t>
                  </w:r>
                  <w:r>
                    <w:rPr>
                      <w:rFonts w:hint="eastAsia"/>
                      <w:vertAlign w:val="superscript"/>
                      <w:lang w:eastAsia="zh-CN"/>
                    </w:rPr>
                    <w:t>nd</w:t>
                  </w:r>
                  <w:r>
                    <w:rPr>
                      <w:rFonts w:hint="eastAsia"/>
                      <w:lang w:eastAsia="zh-CN"/>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5" w:type="dxa"/>
                  <w:shd w:val="clear" w:color="auto" w:fill="auto"/>
                  <w:vAlign w:val="center"/>
                </w:tcPr>
                <w:p>
                  <w:pPr>
                    <w:pStyle w:val="42"/>
                    <w:rPr>
                      <w:lang w:eastAsia="zh-CN"/>
                    </w:rPr>
                  </w:pPr>
                  <w:r>
                    <w:rPr>
                      <w:rFonts w:hint="eastAsia"/>
                      <w:lang w:eastAsia="zh-CN"/>
                    </w:rPr>
                    <w:t>11</w:t>
                  </w:r>
                </w:p>
              </w:tc>
              <w:tc>
                <w:tcPr>
                  <w:tcW w:w="3000" w:type="dxa"/>
                  <w:shd w:val="clear" w:color="auto" w:fill="auto"/>
                  <w:vAlign w:val="center"/>
                </w:tcPr>
                <w:p>
                  <w:pPr>
                    <w:pStyle w:val="43"/>
                  </w:pPr>
                  <w:r>
                    <w:t xml:space="preserve">SRS resource set(s) configured by </w:t>
                  </w:r>
                  <w:r>
                    <w:rPr>
                      <w:i/>
                    </w:rPr>
                    <w:t xml:space="preserve">SRS-ResourceSet </w:t>
                  </w:r>
                  <w:r>
                    <w:t xml:space="preserve">with higher layer parameter </w:t>
                  </w:r>
                  <w:r>
                    <w:rPr>
                      <w:i/>
                      <w:iCs/>
                    </w:rPr>
                    <w:t>aperiodicSRS-ResourceTrigger</w:t>
                  </w:r>
                  <w:r>
                    <w:t xml:space="preserve"> set to 3 or an entry in </w:t>
                  </w:r>
                  <w:r>
                    <w:rPr>
                      <w:i/>
                      <w:iCs/>
                    </w:rPr>
                    <w:t>aperiodicSRS-ResourceTriggerList</w:t>
                  </w:r>
                  <w:r>
                    <w:t xml:space="preserve"> set to 3</w:t>
                  </w:r>
                </w:p>
                <w:p>
                  <w:pPr>
                    <w:pStyle w:val="43"/>
                  </w:pPr>
                </w:p>
                <w:p>
                  <w:pPr>
                    <w:pStyle w:val="43"/>
                    <w:rPr>
                      <w:sz w:val="16"/>
                      <w:szCs w:val="16"/>
                      <w:lang w:eastAsia="zh-CN"/>
                    </w:rPr>
                  </w:pPr>
                  <w:r>
                    <w:t xml:space="preserve">SRS resource set(s) configured by </w:t>
                  </w:r>
                  <w:r>
                    <w:rPr>
                      <w:i/>
                    </w:rPr>
                    <w:t xml:space="preserve">SRS-PosResourceSet </w:t>
                  </w:r>
                  <w:r>
                    <w:t xml:space="preserve">with an entry in </w:t>
                  </w:r>
                  <w:r>
                    <w:rPr>
                      <w:i/>
                      <w:iCs/>
                    </w:rPr>
                    <w:t>aperiodicSRS-ResourceTriggerList</w:t>
                  </w:r>
                  <w:r>
                    <w:t xml:space="preserve"> set to 3 when triggered by DCI formats 0_1, 0_2, 1_1, and 1_2</w:t>
                  </w:r>
                </w:p>
              </w:tc>
              <w:tc>
                <w:tcPr>
                  <w:tcW w:w="3733" w:type="dxa"/>
                </w:tcPr>
                <w:p>
                  <w:pPr>
                    <w:pStyle w:val="43"/>
                  </w:pPr>
                  <w:r>
                    <w:rPr>
                      <w:rFonts w:hint="eastAsia"/>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Pr>
                      <w:rFonts w:hint="eastAsia"/>
                      <w:lang w:eastAsia="zh-CN"/>
                    </w:rPr>
                    <w:t xml:space="preserve"> set to </w:t>
                  </w:r>
                  <w:r>
                    <w:rPr>
                      <w:lang w:eastAsia="zh-CN"/>
                    </w:rPr>
                    <w:t>'</w:t>
                  </w:r>
                  <w:r>
                    <w:rPr>
                      <w:i/>
                      <w:lang w:eastAsia="zh-CN"/>
                    </w:rPr>
                    <w:t>antennaSwitching</w:t>
                  </w:r>
                  <w:r>
                    <w:rPr>
                      <w:lang w:eastAsia="zh-CN"/>
                    </w:rPr>
                    <w:t>'</w:t>
                  </w:r>
                  <w:r>
                    <w:rPr>
                      <w:rFonts w:hint="eastAsia"/>
                      <w:lang w:eastAsia="zh-CN"/>
                    </w:rPr>
                    <w:t xml:space="preserve"> and </w:t>
                  </w:r>
                  <w:r>
                    <w:rPr>
                      <w:rFonts w:hint="eastAsia"/>
                      <w:i/>
                      <w:lang w:eastAsia="zh-CN"/>
                    </w:rPr>
                    <w:t>resourceType</w:t>
                  </w:r>
                  <w:r>
                    <w:rPr>
                      <w:rFonts w:hint="eastAsia"/>
                      <w:lang w:eastAsia="zh-CN"/>
                    </w:rPr>
                    <w:t xml:space="preserve"> in </w:t>
                  </w:r>
                  <w:r>
                    <w:rPr>
                      <w:rFonts w:hint="eastAsia"/>
                      <w:i/>
                      <w:lang w:eastAsia="zh-CN"/>
                    </w:rPr>
                    <w:t>SRS-ResourceSet</w:t>
                  </w:r>
                  <w:r>
                    <w:rPr>
                      <w:rFonts w:hint="eastAsia"/>
                      <w:lang w:eastAsia="zh-CN"/>
                    </w:rPr>
                    <w:t xml:space="preserve"> set to </w:t>
                  </w:r>
                  <w:r>
                    <w:rPr>
                      <w:lang w:eastAsia="zh-CN"/>
                    </w:rPr>
                    <w:t>'</w:t>
                  </w:r>
                  <w:r>
                    <w:rPr>
                      <w:rFonts w:hint="eastAsia"/>
                      <w:lang w:eastAsia="zh-CN"/>
                    </w:rPr>
                    <w:t>aperiodic</w:t>
                  </w:r>
                  <w:r>
                    <w:rPr>
                      <w:lang w:eastAsia="zh-CN"/>
                    </w:rPr>
                    <w:t>'</w:t>
                  </w:r>
                  <w:r>
                    <w:rPr>
                      <w:rFonts w:hint="eastAsia"/>
                      <w:lang w:eastAsia="zh-CN"/>
                    </w:rPr>
                    <w:t xml:space="preserve"> for a 3</w:t>
                  </w:r>
                  <w:r>
                    <w:rPr>
                      <w:rFonts w:hint="eastAsia"/>
                      <w:vertAlign w:val="superscript"/>
                      <w:lang w:eastAsia="zh-CN"/>
                    </w:rPr>
                    <w:t>rd</w:t>
                  </w:r>
                  <w:r>
                    <w:rPr>
                      <w:rFonts w:hint="eastAsia"/>
                      <w:lang w:eastAsia="zh-CN"/>
                    </w:rPr>
                    <w:t xml:space="preserve"> set of serving cells configured by higher layers</w:t>
                  </w:r>
                </w:p>
              </w:tc>
            </w:tr>
          </w:tbl>
          <w:p>
            <w:pPr>
              <w:snapToGrid w:val="0"/>
              <w:spacing w:before="72" w:beforeLines="30" w:after="72" w:afterLines="30" w:line="288" w:lineRule="auto"/>
              <w:jc w:val="both"/>
              <w:rPr>
                <w:rFonts w:eastAsia="宋体"/>
              </w:rPr>
            </w:pPr>
          </w:p>
        </w:tc>
      </w:tr>
    </w:tbl>
    <w:p>
      <w:pPr>
        <w:snapToGrid w:val="0"/>
        <w:spacing w:before="72" w:beforeLines="30" w:after="72" w:afterLines="30" w:line="288" w:lineRule="auto"/>
        <w:jc w:val="both"/>
        <w:rPr>
          <w:rFonts w:eastAsia="宋体"/>
        </w:rPr>
      </w:pPr>
    </w:p>
    <w:p>
      <w:pPr>
        <w:snapToGrid w:val="0"/>
        <w:spacing w:before="72" w:beforeLines="30" w:after="72" w:afterLines="30" w:line="288" w:lineRule="auto"/>
        <w:jc w:val="both"/>
        <w:rPr>
          <w:rFonts w:eastAsia="宋体"/>
          <w:i/>
          <w:iCs/>
        </w:rPr>
      </w:pPr>
      <w:r>
        <w:rPr>
          <w:rFonts w:hint="eastAsia" w:eastAsia="宋体"/>
          <w:b/>
          <w:i/>
        </w:rPr>
        <w:t xml:space="preserve">Proposal </w:t>
      </w:r>
      <w:r>
        <w:rPr>
          <w:rFonts w:eastAsia="宋体"/>
          <w:b/>
          <w:i/>
        </w:rPr>
        <w:t>2</w:t>
      </w:r>
      <w:r>
        <w:rPr>
          <w:rFonts w:hint="eastAsia"/>
          <w:b/>
          <w:i/>
        </w:rPr>
        <w:t xml:space="preserve">: </w:t>
      </w:r>
      <w:r>
        <w:rPr>
          <w:rFonts w:eastAsia="宋体"/>
          <w:i/>
          <w:iCs/>
        </w:rPr>
        <w:t xml:space="preserve">Regarding </w:t>
      </w:r>
      <w:r>
        <w:rPr>
          <w:rFonts w:hint="eastAsia" w:eastAsia="宋体"/>
          <w:i/>
          <w:iCs/>
        </w:rPr>
        <w:t xml:space="preserve">aperiodic </w:t>
      </w:r>
      <w:r>
        <w:rPr>
          <w:rFonts w:eastAsia="宋体"/>
          <w:i/>
          <w:iCs/>
        </w:rPr>
        <w:t>SRS</w:t>
      </w:r>
      <w:r>
        <w:rPr>
          <w:rFonts w:hint="eastAsia" w:eastAsia="宋体"/>
          <w:i/>
          <w:iCs/>
        </w:rPr>
        <w:t xml:space="preserve"> </w:t>
      </w:r>
      <w:r>
        <w:rPr>
          <w:rFonts w:eastAsia="宋体"/>
          <w:i/>
          <w:iCs/>
        </w:rPr>
        <w:t xml:space="preserve">triggered by </w:t>
      </w:r>
      <w:r>
        <w:rPr>
          <w:rFonts w:hint="eastAsia" w:eastAsia="宋体"/>
          <w:i/>
          <w:iCs/>
        </w:rPr>
        <w:t>DCI format 1_1 or 1_</w:t>
      </w:r>
      <w:r>
        <w:rPr>
          <w:rFonts w:eastAsia="宋体"/>
          <w:i/>
          <w:iCs/>
        </w:rPr>
        <w:t>2</w:t>
      </w:r>
      <w:r>
        <w:rPr>
          <w:rFonts w:hint="eastAsia" w:eastAsia="宋体"/>
          <w:i/>
          <w:iCs/>
        </w:rPr>
        <w:t xml:space="preserve">, </w:t>
      </w:r>
      <w:r>
        <w:rPr>
          <w:rFonts w:eastAsia="宋体"/>
          <w:i/>
          <w:iCs/>
        </w:rPr>
        <w:t>additional spec change is not needed and then the following can be concluded, if needed:</w:t>
      </w:r>
      <w:r>
        <w:rPr>
          <w:rFonts w:hint="eastAsia" w:eastAsia="宋体"/>
          <w:i/>
          <w:iCs/>
        </w:rPr>
        <w:t xml:space="preserve"> </w:t>
      </w:r>
    </w:p>
    <w:p>
      <w:pPr>
        <w:numPr>
          <w:ilvl w:val="0"/>
          <w:numId w:val="12"/>
        </w:numPr>
        <w:snapToGrid w:val="0"/>
        <w:spacing w:before="72" w:beforeLines="30" w:after="72" w:afterLines="30" w:line="288" w:lineRule="auto"/>
        <w:ind w:left="800" w:leftChars="200" w:hanging="400" w:hangingChars="200"/>
        <w:jc w:val="both"/>
        <w:rPr>
          <w:rFonts w:eastAsia="Malgun Gothic" w:cs="Arial"/>
          <w:i/>
          <w:iCs/>
          <w:lang w:eastAsia="ko-KR"/>
        </w:rPr>
      </w:pPr>
      <w:r>
        <w:rPr>
          <w:rFonts w:eastAsia="宋体" w:cs="Arial"/>
          <w:i/>
          <w:iCs/>
        </w:rPr>
        <w:t>The following conclusion in RAN1#99 for clarifying t</w:t>
      </w:r>
      <w:r>
        <w:rPr>
          <w:rFonts w:hint="eastAsia" w:eastAsia="宋体" w:cs="Arial"/>
          <w:i/>
          <w:iCs/>
        </w:rPr>
        <w:t xml:space="preserve">he serving cell of the triggered SRS </w:t>
      </w:r>
      <w:r>
        <w:rPr>
          <w:rFonts w:eastAsia="宋体" w:cs="Arial"/>
          <w:i/>
          <w:iCs/>
        </w:rPr>
        <w:t xml:space="preserve">can apply to the case of </w:t>
      </w:r>
      <w:r>
        <w:rPr>
          <w:rFonts w:hint="eastAsia" w:eastAsia="宋体" w:cs="Arial"/>
          <w:i/>
          <w:iCs/>
        </w:rPr>
        <w:t xml:space="preserve"> </w:t>
      </w:r>
      <w:r>
        <w:rPr>
          <w:rFonts w:hint="eastAsia" w:eastAsia="宋体"/>
          <w:i/>
          <w:iCs/>
        </w:rPr>
        <w:t xml:space="preserve">DCI format </w:t>
      </w:r>
      <w:r>
        <w:rPr>
          <w:rFonts w:eastAsia="宋体"/>
          <w:i/>
          <w:iCs/>
        </w:rPr>
        <w:t>0_2/</w:t>
      </w:r>
      <w:r>
        <w:rPr>
          <w:rFonts w:hint="eastAsia" w:eastAsia="宋体"/>
          <w:i/>
          <w:iCs/>
        </w:rPr>
        <w:t>1_</w:t>
      </w:r>
      <w:r>
        <w:rPr>
          <w:rFonts w:eastAsia="宋体"/>
          <w:i/>
          <w:iCs/>
        </w:rPr>
        <w:t>2 as well.</w:t>
      </w:r>
    </w:p>
    <w:p>
      <w:pPr>
        <w:pStyle w:val="111"/>
        <w:numPr>
          <w:ilvl w:val="2"/>
          <w:numId w:val="12"/>
        </w:numPr>
        <w:spacing w:after="0"/>
        <w:ind w:left="1260" w:hanging="420" w:firstLineChars="0"/>
        <w:rPr>
          <w:i/>
        </w:rPr>
      </w:pPr>
      <w:r>
        <w:rPr>
          <w:i/>
        </w:rPr>
        <w:t>If the UE is configured with a carrier indicator field by CrossCarrierSchedulingConfig, the serving cell of triggered SRS is indicated by the carrier indicator field, as defined in Subclause 10.1 of [5, TS 38.213].</w:t>
      </w:r>
    </w:p>
    <w:p>
      <w:pPr>
        <w:numPr>
          <w:ilvl w:val="1"/>
          <w:numId w:val="12"/>
        </w:numPr>
        <w:snapToGrid w:val="0"/>
        <w:spacing w:before="72" w:beforeLines="30" w:after="72" w:afterLines="30" w:line="288" w:lineRule="auto"/>
        <w:ind w:left="1600" w:leftChars="600" w:hanging="400" w:hangingChars="200"/>
        <w:jc w:val="both"/>
        <w:rPr>
          <w:rFonts w:eastAsia="Malgun Gothic" w:cs="Arial"/>
          <w:i/>
          <w:iCs/>
          <w:lang w:eastAsia="ko-KR"/>
        </w:rPr>
      </w:pPr>
      <w:r>
        <w:rPr>
          <w:i/>
        </w:rPr>
        <w:t>Applies only for DCI format 0_1 and 1_1</w:t>
      </w:r>
    </w:p>
    <w:p>
      <w:pPr>
        <w:numPr>
          <w:ilvl w:val="0"/>
          <w:numId w:val="12"/>
        </w:numPr>
        <w:snapToGrid w:val="0"/>
        <w:spacing w:before="72" w:beforeLines="30" w:after="72" w:afterLines="30" w:line="288" w:lineRule="auto"/>
        <w:ind w:left="800" w:leftChars="200" w:hanging="400" w:hangingChars="200"/>
        <w:jc w:val="both"/>
        <w:rPr>
          <w:rFonts w:eastAsia="Malgun Gothic" w:cs="Arial"/>
          <w:i/>
          <w:iCs/>
          <w:lang w:eastAsia="ko-KR"/>
        </w:rPr>
      </w:pPr>
      <w:r>
        <w:rPr>
          <w:rFonts w:eastAsia="宋体" w:cs="Arial"/>
          <w:i/>
          <w:iCs/>
        </w:rPr>
        <w:t>T</w:t>
      </w:r>
      <w:r>
        <w:rPr>
          <w:rFonts w:hint="eastAsia" w:eastAsia="宋体" w:cs="Arial"/>
          <w:i/>
          <w:iCs/>
        </w:rPr>
        <w:t xml:space="preserve">he SRS triggered by </w:t>
      </w:r>
      <w:r>
        <w:rPr>
          <w:rFonts w:hint="eastAsia" w:eastAsia="宋体"/>
          <w:i/>
          <w:iCs/>
        </w:rPr>
        <w:t xml:space="preserve">DCI format </w:t>
      </w:r>
      <w:r>
        <w:rPr>
          <w:rFonts w:eastAsia="宋体"/>
          <w:i/>
          <w:iCs/>
        </w:rPr>
        <w:t>0_1, 0_2, 1_1, and 1_2</w:t>
      </w:r>
      <w:r>
        <w:rPr>
          <w:rFonts w:hint="eastAsia" w:eastAsia="宋体"/>
          <w:i/>
          <w:iCs/>
        </w:rPr>
        <w:t xml:space="preserve"> is not only for usage of </w:t>
      </w:r>
      <w:r>
        <w:rPr>
          <w:rFonts w:eastAsia="宋体"/>
          <w:i/>
          <w:iCs/>
        </w:rPr>
        <w:t>“</w:t>
      </w:r>
      <w:r>
        <w:rPr>
          <w:rFonts w:hint="eastAsia" w:eastAsia="宋体"/>
          <w:i/>
          <w:iCs/>
        </w:rPr>
        <w:t>antenna switching</w:t>
      </w:r>
      <w:r>
        <w:rPr>
          <w:rFonts w:eastAsia="宋体"/>
          <w:i/>
          <w:iCs/>
        </w:rPr>
        <w:t>”</w:t>
      </w:r>
      <w:r>
        <w:rPr>
          <w:rFonts w:hint="eastAsia" w:eastAsia="宋体"/>
          <w:i/>
          <w:iCs/>
        </w:rPr>
        <w:t xml:space="preserve">, but </w:t>
      </w:r>
      <w:r>
        <w:rPr>
          <w:rFonts w:eastAsia="宋体"/>
          <w:i/>
          <w:iCs/>
        </w:rPr>
        <w:t xml:space="preserve">also </w:t>
      </w:r>
      <w:r>
        <w:rPr>
          <w:rFonts w:hint="eastAsia" w:eastAsia="宋体"/>
          <w:i/>
          <w:iCs/>
        </w:rPr>
        <w:t xml:space="preserve">applicable for </w:t>
      </w:r>
      <w:r>
        <w:rPr>
          <w:rFonts w:eastAsia="宋体"/>
          <w:i/>
          <w:iCs/>
        </w:rPr>
        <w:t>other</w:t>
      </w:r>
      <w:r>
        <w:rPr>
          <w:rFonts w:hint="eastAsia" w:eastAsia="宋体"/>
          <w:i/>
          <w:iCs/>
        </w:rPr>
        <w:t xml:space="preserve"> usages</w:t>
      </w:r>
      <w:r>
        <w:rPr>
          <w:rFonts w:eastAsia="宋体"/>
          <w:i/>
          <w:iCs/>
        </w:rPr>
        <w:t>.</w:t>
      </w:r>
    </w:p>
    <w:p>
      <w:pPr>
        <w:snapToGrid w:val="0"/>
        <w:spacing w:before="72" w:beforeLines="30" w:after="72" w:afterLines="30" w:line="288" w:lineRule="auto"/>
        <w:jc w:val="both"/>
        <w:rPr>
          <w:rFonts w:eastAsia="宋体"/>
          <w:i/>
          <w:iCs/>
        </w:rPr>
      </w:pPr>
    </w:p>
    <w:p>
      <w:pPr>
        <w:numPr>
          <w:ilvl w:val="1"/>
          <w:numId w:val="9"/>
        </w:numPr>
        <w:tabs>
          <w:tab w:val="clear" w:pos="576"/>
        </w:tabs>
        <w:snapToGrid w:val="0"/>
        <w:spacing w:before="120" w:beforeLines="50" w:after="120" w:afterLines="50" w:line="288" w:lineRule="auto"/>
        <w:ind w:left="400" w:hanging="400"/>
        <w:jc w:val="both"/>
        <w:outlineLvl w:val="1"/>
        <w:rPr>
          <w:rFonts w:eastAsia="宋体"/>
          <w:b/>
          <w:sz w:val="24"/>
          <w:szCs w:val="24"/>
          <w:lang w:val="en-GB" w:eastAsia="ja-JP"/>
        </w:rPr>
      </w:pPr>
      <w:r>
        <w:rPr>
          <w:rFonts w:hint="eastAsia" w:eastAsia="宋体"/>
          <w:b/>
          <w:sz w:val="24"/>
          <w:szCs w:val="24"/>
        </w:rPr>
        <w:t>Issue 3: On the closed loop power control behaviour for SRS carrier switching triggered by DCI format 1_1 or 1_2</w:t>
      </w:r>
    </w:p>
    <w:p>
      <w:pPr>
        <w:snapToGrid w:val="0"/>
        <w:spacing w:before="72" w:beforeLines="30" w:after="72" w:afterLines="30" w:line="288" w:lineRule="auto"/>
        <w:jc w:val="both"/>
        <w:rPr>
          <w:rFonts w:eastAsia="宋体"/>
        </w:rPr>
      </w:pPr>
      <w:r>
        <w:rPr>
          <w:rFonts w:hint="eastAsia" w:eastAsia="宋体"/>
        </w:rPr>
        <w:t>Regarding the issue mentioned in section 2.3</w:t>
      </w:r>
      <w:r>
        <w:rPr>
          <w:rFonts w:hint="eastAsia" w:eastAsia="宋体"/>
          <w:vertAlign w:val="superscript"/>
        </w:rPr>
        <w:t>[2]</w:t>
      </w:r>
      <w:r>
        <w:rPr>
          <w:rFonts w:hint="eastAsia" w:eastAsia="宋体"/>
        </w:rPr>
        <w:t xml:space="preserve">, it seems no ambiguity for closed loop power control behaviour for SRS carrier switching triggered by DCI format 1_1 or 1_2. Although AP SRS carrier switching triggered by a DCI format 1_1 or 1_2 does not have dedicated TPC command in the DCI, it is still workable because </w:t>
      </w:r>
      <w:r>
        <w:rPr>
          <w:rFonts w:eastAsia="宋体"/>
        </w:rPr>
        <w:t>Tx power of the</w:t>
      </w:r>
      <w:r>
        <w:rPr>
          <w:rFonts w:hint="eastAsia" w:eastAsia="宋体"/>
        </w:rPr>
        <w:t xml:space="preserve"> AP SRS carrier switching can be adjusted </w:t>
      </w:r>
      <w:r>
        <w:rPr>
          <w:rFonts w:eastAsia="宋体"/>
        </w:rPr>
        <w:t xml:space="preserve">well </w:t>
      </w:r>
      <w:r>
        <w:rPr>
          <w:rFonts w:hint="eastAsia" w:eastAsia="宋体"/>
        </w:rPr>
        <w:t xml:space="preserve">by group common DCI format 2_3. DCI format 2_3 can provide TPC commands for multiple UEs for SRS which is configured as a separate closed power control from that for PUSCH transmission, this is clear in both TS 38.212 and TS 38.213. The normal behaviour is that gNB provides </w:t>
      </w:r>
      <w:r>
        <w:rPr>
          <w:rFonts w:hint="eastAsia" w:eastAsia="宋体"/>
          <w:i/>
          <w:iCs/>
          <w:lang w:val="en-GB"/>
        </w:rPr>
        <w:t>tpc-SRS-RNTI</w:t>
      </w:r>
      <w:r>
        <w:rPr>
          <w:rFonts w:hint="eastAsia" w:eastAsia="宋体"/>
        </w:rPr>
        <w:t xml:space="preserve"> for UE to monitor DCI format 2_3. But if </w:t>
      </w:r>
      <w:r>
        <w:rPr>
          <w:rFonts w:hint="eastAsia" w:eastAsia="宋体"/>
          <w:i/>
          <w:iCs/>
          <w:lang w:val="en-GB"/>
        </w:rPr>
        <w:t>tpc-SRS-RNTI</w:t>
      </w:r>
      <w:r>
        <w:rPr>
          <w:rFonts w:hint="eastAsia" w:eastAsia="宋体"/>
        </w:rPr>
        <w:t xml:space="preserve"> is not provided, we believe this is a corner case</w:t>
      </w:r>
      <w:r>
        <w:rPr>
          <w:rFonts w:eastAsia="宋体"/>
        </w:rPr>
        <w:t>. Even</w:t>
      </w:r>
      <w:r>
        <w:rPr>
          <w:rFonts w:hint="eastAsia" w:eastAsia="宋体"/>
        </w:rPr>
        <w:t xml:space="preserve"> if </w:t>
      </w:r>
      <w:r>
        <w:rPr>
          <w:rFonts w:eastAsia="宋体"/>
        </w:rPr>
        <w:t>considering the case</w:t>
      </w:r>
      <w:r>
        <w:rPr>
          <w:rFonts w:hint="eastAsia" w:eastAsia="宋体"/>
        </w:rPr>
        <w:t xml:space="preserve">, no dynamic TPC command </w:t>
      </w:r>
      <w:r>
        <w:rPr>
          <w:rFonts w:eastAsia="宋体"/>
        </w:rPr>
        <w:t>being</w:t>
      </w:r>
      <w:r>
        <w:rPr>
          <w:rFonts w:hint="eastAsia" w:eastAsia="宋体"/>
        </w:rPr>
        <w:t xml:space="preserve"> provided can also be acceptable, which means closed loop power control part is always 0. </w:t>
      </w:r>
    </w:p>
    <w:p>
      <w:pPr>
        <w:snapToGrid w:val="0"/>
        <w:spacing w:before="72" w:beforeLines="30" w:after="72" w:afterLines="30" w:line="288" w:lineRule="auto"/>
        <w:jc w:val="both"/>
        <w:rPr>
          <w:rFonts w:eastAsia="宋体"/>
          <w:i/>
          <w:iCs/>
        </w:rPr>
      </w:pPr>
      <w:r>
        <w:rPr>
          <w:rFonts w:hint="eastAsia" w:eastAsia="宋体"/>
          <w:b/>
          <w:i/>
        </w:rPr>
        <w:t xml:space="preserve">Proposal </w:t>
      </w:r>
      <w:r>
        <w:rPr>
          <w:rFonts w:eastAsia="宋体"/>
          <w:b/>
          <w:i/>
        </w:rPr>
        <w:t>3</w:t>
      </w:r>
      <w:r>
        <w:rPr>
          <w:rFonts w:hint="eastAsia"/>
          <w:b/>
          <w:i/>
        </w:rPr>
        <w:t xml:space="preserve">: </w:t>
      </w:r>
      <w:r>
        <w:rPr>
          <w:rFonts w:hint="eastAsia" w:eastAsia="宋体"/>
          <w:i/>
          <w:iCs/>
        </w:rPr>
        <w:t>There is no ambiguity for the closed loop power control behaviour for SRS carrier switching triggered by DCI format 1_1 or 1_2 in current spec.</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snapToGrid w:val="0"/>
        <w:spacing w:before="72" w:beforeLines="30" w:after="72" w:afterLines="30" w:line="288" w:lineRule="auto"/>
        <w:jc w:val="both"/>
      </w:pPr>
      <w:r>
        <w:rPr>
          <w:rFonts w:hint="eastAsia"/>
        </w:rPr>
        <w:t>I</w:t>
      </w:r>
      <w:r>
        <w:t xml:space="preserve">n this contribution, we </w:t>
      </w:r>
      <w:r>
        <w:rPr>
          <w:rFonts w:hint="eastAsia"/>
        </w:rPr>
        <w:t>provide</w:t>
      </w:r>
      <w:r>
        <w:t xml:space="preserve"> our views on </w:t>
      </w:r>
      <w:r>
        <w:rPr>
          <w:rFonts w:hint="eastAsia" w:eastAsia="宋体"/>
        </w:rPr>
        <w:t>SRS carrier switching triggered by DCI format 1_1/1_2 and issues on DCI format 2_3</w:t>
      </w:r>
      <w:r>
        <w:rPr>
          <w:rFonts w:hint="eastAsia"/>
        </w:rPr>
        <w:t xml:space="preserve">. </w:t>
      </w:r>
      <w:r>
        <w:rPr>
          <w:rFonts w:hint="eastAsia" w:eastAsia="宋体"/>
        </w:rPr>
        <w:t>P</w:t>
      </w:r>
      <w:r>
        <w:rPr>
          <w:rFonts w:hint="eastAsia"/>
        </w:rPr>
        <w:t>roposals are listed as follows.</w:t>
      </w:r>
    </w:p>
    <w:p>
      <w:pPr>
        <w:snapToGrid w:val="0"/>
        <w:spacing w:before="72" w:beforeLines="30" w:after="72" w:afterLines="30" w:line="288" w:lineRule="auto"/>
        <w:jc w:val="both"/>
        <w:rPr>
          <w:rFonts w:eastAsia="宋体"/>
          <w:i/>
          <w:iCs/>
        </w:rPr>
      </w:pPr>
      <w:r>
        <w:rPr>
          <w:rFonts w:hint="eastAsia" w:eastAsia="宋体"/>
          <w:b/>
          <w:i/>
        </w:rPr>
        <w:t>Proposal 1</w:t>
      </w:r>
      <w:r>
        <w:rPr>
          <w:rFonts w:hint="eastAsia"/>
          <w:b/>
          <w:i/>
        </w:rPr>
        <w:t xml:space="preserve">: </w:t>
      </w:r>
      <w:r>
        <w:rPr>
          <w:rFonts w:eastAsia="宋体"/>
          <w:i/>
          <w:iCs/>
        </w:rPr>
        <w:t>Regarding SRS</w:t>
      </w:r>
      <w:r>
        <w:rPr>
          <w:rFonts w:hint="eastAsia" w:eastAsia="宋体"/>
          <w:i/>
          <w:iCs/>
        </w:rPr>
        <w:t xml:space="preserve"> carrier switching of </w:t>
      </w:r>
      <w:r>
        <w:rPr>
          <w:i/>
          <w:iCs/>
          <w:lang w:val="en-GB" w:eastAsia="ja-JP"/>
        </w:rPr>
        <w:t>Alt 1 from RAN#114,</w:t>
      </w:r>
      <w:r>
        <w:rPr>
          <w:rFonts w:eastAsia="宋体"/>
          <w:i/>
          <w:iCs/>
        </w:rPr>
        <w:t xml:space="preserve"> on the top of the updated Proposal 2.1.1 r1 from the FL, we have the suggestion with the following </w:t>
      </w:r>
      <w:r>
        <w:rPr>
          <w:rFonts w:eastAsia="宋体"/>
          <w:i/>
          <w:iCs/>
          <w:color w:val="FF0000"/>
        </w:rPr>
        <w:t>modification</w:t>
      </w:r>
      <w:r>
        <w:rPr>
          <w:rFonts w:hint="eastAsia" w:eastAsia="宋体"/>
          <w:i/>
          <w:iCs/>
        </w:rPr>
        <w:t>:</w:t>
      </w:r>
    </w:p>
    <w:p>
      <w:pPr>
        <w:numPr>
          <w:ilvl w:val="0"/>
          <w:numId w:val="12"/>
        </w:numPr>
        <w:snapToGrid w:val="0"/>
        <w:spacing w:before="72" w:beforeLines="30" w:after="72" w:afterLines="30" w:line="288" w:lineRule="auto"/>
        <w:ind w:left="800" w:leftChars="200" w:hanging="400" w:hangingChars="200"/>
        <w:jc w:val="both"/>
        <w:rPr>
          <w:rFonts w:eastAsia="宋体"/>
          <w:i/>
          <w:iCs/>
        </w:rPr>
      </w:pPr>
      <w:r>
        <w:rPr>
          <w:i/>
          <w:iCs/>
          <w:lang w:val="en-GB" w:eastAsia="ja-JP"/>
        </w:rPr>
        <w:t>“RAN1 concludes that DCI 1_1 and 1_2 triggering are supporte</w:t>
      </w:r>
      <w:r>
        <w:rPr>
          <w:rFonts w:cs="Arial"/>
          <w:i/>
          <w:iCs/>
          <w:lang w:val="en-GB" w:eastAsia="ja-JP"/>
        </w:rPr>
        <w:t xml:space="preserve">d, </w:t>
      </w:r>
      <w:r>
        <w:rPr>
          <w:rFonts w:cs="Arial"/>
          <w:i/>
          <w:iCs/>
          <w:color w:val="FF0000"/>
          <w:u w:val="single"/>
          <w:lang w:val="en-GB" w:eastAsia="ja-JP"/>
        </w:rPr>
        <w:t>subject to existing UE capabilities,</w:t>
      </w:r>
      <w:r>
        <w:rPr>
          <w:rFonts w:cs="Arial"/>
          <w:i/>
          <w:iCs/>
          <w:color w:val="FF0000"/>
          <w:lang w:val="en-GB" w:eastAsia="ja-JP"/>
        </w:rPr>
        <w:t xml:space="preserve"> </w:t>
      </w:r>
      <w:r>
        <w:rPr>
          <w:rFonts w:cs="Arial"/>
          <w:i/>
          <w:iCs/>
          <w:lang w:val="en-GB" w:eastAsia="ja-JP"/>
        </w:rPr>
        <w:t xml:space="preserve">for aperiodic SRS carrier switching in Rel-15” is agreed as </w:t>
      </w:r>
      <w:r>
        <w:rPr>
          <w:rFonts w:cs="Arial"/>
          <w:i/>
          <w:iCs/>
          <w:color w:val="FF0000"/>
          <w:u w:val="single"/>
          <w:lang w:val="en-GB" w:eastAsia="ja-JP"/>
        </w:rPr>
        <w:t>updated</w:t>
      </w:r>
      <w:r>
        <w:rPr>
          <w:rFonts w:cs="Arial"/>
          <w:i/>
          <w:iCs/>
          <w:lang w:val="en-GB" w:eastAsia="ja-JP"/>
        </w:rPr>
        <w:t xml:space="preserve">, and no new UE capability is defined for the support of DCI 1_1 and 1_2 triggering for aperiodic SRS carrier switching </w:t>
      </w:r>
      <w:r>
        <w:rPr>
          <w:rFonts w:cs="Arial"/>
          <w:i/>
          <w:iCs/>
          <w:strike/>
          <w:color w:val="FF0000"/>
          <w:lang w:val="en-GB" w:eastAsia="ja-JP"/>
        </w:rPr>
        <w:t>[in the case where DCI 2_3 is not configured and only one uplink carrier is configured with SRS carrier switching]</w:t>
      </w:r>
      <w:r>
        <w:rPr>
          <w:rFonts w:cs="Arial"/>
          <w:i/>
          <w:iCs/>
          <w:color w:val="FF0000"/>
          <w:lang w:val="en-GB" w:eastAsia="ja-JP"/>
        </w:rPr>
        <w:t>.</w:t>
      </w:r>
    </w:p>
    <w:p>
      <w:pPr>
        <w:snapToGrid w:val="0"/>
        <w:spacing w:before="72" w:beforeLines="30" w:after="72" w:afterLines="30" w:line="288" w:lineRule="auto"/>
        <w:jc w:val="both"/>
        <w:rPr>
          <w:rFonts w:eastAsia="宋体"/>
          <w:i/>
          <w:iCs/>
        </w:rPr>
      </w:pPr>
      <w:r>
        <w:rPr>
          <w:rFonts w:hint="eastAsia" w:eastAsia="宋体"/>
          <w:b/>
          <w:i/>
        </w:rPr>
        <w:t xml:space="preserve">Proposal </w:t>
      </w:r>
      <w:r>
        <w:rPr>
          <w:rFonts w:eastAsia="宋体"/>
          <w:b/>
          <w:i/>
        </w:rPr>
        <w:t>2</w:t>
      </w:r>
      <w:r>
        <w:rPr>
          <w:rFonts w:hint="eastAsia"/>
          <w:b/>
          <w:i/>
        </w:rPr>
        <w:t xml:space="preserve">: </w:t>
      </w:r>
      <w:r>
        <w:rPr>
          <w:rFonts w:eastAsia="宋体"/>
          <w:i/>
          <w:iCs/>
        </w:rPr>
        <w:t xml:space="preserve">Regarding </w:t>
      </w:r>
      <w:r>
        <w:rPr>
          <w:rFonts w:hint="eastAsia" w:eastAsia="宋体"/>
          <w:i/>
          <w:iCs/>
        </w:rPr>
        <w:t xml:space="preserve">aperiodic </w:t>
      </w:r>
      <w:r>
        <w:rPr>
          <w:rFonts w:eastAsia="宋体"/>
          <w:i/>
          <w:iCs/>
        </w:rPr>
        <w:t>SRS</w:t>
      </w:r>
      <w:r>
        <w:rPr>
          <w:rFonts w:hint="eastAsia" w:eastAsia="宋体"/>
          <w:i/>
          <w:iCs/>
        </w:rPr>
        <w:t xml:space="preserve"> </w:t>
      </w:r>
      <w:r>
        <w:rPr>
          <w:rFonts w:eastAsia="宋体"/>
          <w:i/>
          <w:iCs/>
        </w:rPr>
        <w:t xml:space="preserve">triggered by </w:t>
      </w:r>
      <w:r>
        <w:rPr>
          <w:rFonts w:hint="eastAsia" w:eastAsia="宋体"/>
          <w:i/>
          <w:iCs/>
        </w:rPr>
        <w:t>DCI format 1_1 or 1_</w:t>
      </w:r>
      <w:r>
        <w:rPr>
          <w:rFonts w:eastAsia="宋体"/>
          <w:i/>
          <w:iCs/>
        </w:rPr>
        <w:t>2</w:t>
      </w:r>
      <w:r>
        <w:rPr>
          <w:rFonts w:hint="eastAsia" w:eastAsia="宋体"/>
          <w:i/>
          <w:iCs/>
        </w:rPr>
        <w:t xml:space="preserve">, </w:t>
      </w:r>
      <w:r>
        <w:rPr>
          <w:rFonts w:eastAsia="宋体"/>
          <w:i/>
          <w:iCs/>
        </w:rPr>
        <w:t>additional spec change is not needed and then the following can be concluded, if needed:</w:t>
      </w:r>
      <w:r>
        <w:rPr>
          <w:rFonts w:hint="eastAsia" w:eastAsia="宋体"/>
          <w:i/>
          <w:iCs/>
        </w:rPr>
        <w:t xml:space="preserve"> </w:t>
      </w:r>
    </w:p>
    <w:p>
      <w:pPr>
        <w:numPr>
          <w:ilvl w:val="0"/>
          <w:numId w:val="12"/>
        </w:numPr>
        <w:snapToGrid w:val="0"/>
        <w:spacing w:before="72" w:beforeLines="30" w:after="72" w:afterLines="30" w:line="288" w:lineRule="auto"/>
        <w:ind w:left="800" w:leftChars="200" w:hanging="400" w:hangingChars="200"/>
        <w:jc w:val="both"/>
        <w:rPr>
          <w:rFonts w:eastAsia="Malgun Gothic" w:cs="Arial"/>
          <w:i/>
          <w:iCs/>
          <w:lang w:eastAsia="ko-KR"/>
        </w:rPr>
      </w:pPr>
      <w:r>
        <w:rPr>
          <w:rFonts w:eastAsia="宋体" w:cs="Arial"/>
          <w:i/>
          <w:iCs/>
        </w:rPr>
        <w:t>The following conclusion in RAN1#99 for clarifying t</w:t>
      </w:r>
      <w:r>
        <w:rPr>
          <w:rFonts w:hint="eastAsia" w:eastAsia="宋体" w:cs="Arial"/>
          <w:i/>
          <w:iCs/>
        </w:rPr>
        <w:t xml:space="preserve">he serving cell of the triggered SRS </w:t>
      </w:r>
      <w:r>
        <w:rPr>
          <w:rFonts w:eastAsia="宋体" w:cs="Arial"/>
          <w:i/>
          <w:iCs/>
        </w:rPr>
        <w:t xml:space="preserve">can apply to the case of </w:t>
      </w:r>
      <w:r>
        <w:rPr>
          <w:rFonts w:hint="eastAsia" w:eastAsia="宋体" w:cs="Arial"/>
          <w:i/>
          <w:iCs/>
        </w:rPr>
        <w:t xml:space="preserve"> </w:t>
      </w:r>
      <w:r>
        <w:rPr>
          <w:rFonts w:hint="eastAsia" w:eastAsia="宋体"/>
          <w:i/>
          <w:iCs/>
        </w:rPr>
        <w:t xml:space="preserve">DCI format </w:t>
      </w:r>
      <w:r>
        <w:rPr>
          <w:rFonts w:eastAsia="宋体"/>
          <w:i/>
          <w:iCs/>
        </w:rPr>
        <w:t>0_2/</w:t>
      </w:r>
      <w:r>
        <w:rPr>
          <w:rFonts w:hint="eastAsia" w:eastAsia="宋体"/>
          <w:i/>
          <w:iCs/>
        </w:rPr>
        <w:t>1_</w:t>
      </w:r>
      <w:r>
        <w:rPr>
          <w:rFonts w:eastAsia="宋体"/>
          <w:i/>
          <w:iCs/>
        </w:rPr>
        <w:t>2 as well.</w:t>
      </w:r>
    </w:p>
    <w:p>
      <w:pPr>
        <w:pStyle w:val="111"/>
        <w:numPr>
          <w:ilvl w:val="2"/>
          <w:numId w:val="12"/>
        </w:numPr>
        <w:spacing w:after="0"/>
        <w:ind w:left="1260" w:hanging="420" w:firstLineChars="0"/>
        <w:rPr>
          <w:i/>
        </w:rPr>
      </w:pPr>
      <w:r>
        <w:rPr>
          <w:i/>
        </w:rPr>
        <w:t>If the UE is configured with a carrier indicator field by CrossCarrierSchedulingConfig, the serving cell of triggered SRS is indicated by the carrier indicator field, as defined in Subclause 10.1 of [5, TS 38.213].</w:t>
      </w:r>
    </w:p>
    <w:p>
      <w:pPr>
        <w:numPr>
          <w:ilvl w:val="1"/>
          <w:numId w:val="12"/>
        </w:numPr>
        <w:snapToGrid w:val="0"/>
        <w:spacing w:before="72" w:beforeLines="30" w:after="72" w:afterLines="30" w:line="288" w:lineRule="auto"/>
        <w:ind w:left="1600" w:leftChars="600" w:hanging="400" w:hangingChars="200"/>
        <w:jc w:val="both"/>
        <w:rPr>
          <w:rFonts w:eastAsia="Malgun Gothic" w:cs="Arial"/>
          <w:i/>
          <w:iCs/>
          <w:lang w:eastAsia="ko-KR"/>
        </w:rPr>
      </w:pPr>
      <w:r>
        <w:rPr>
          <w:i/>
        </w:rPr>
        <w:t>Applies only for DCI format 0_1 and 1_1</w:t>
      </w:r>
    </w:p>
    <w:p>
      <w:pPr>
        <w:numPr>
          <w:ilvl w:val="0"/>
          <w:numId w:val="12"/>
        </w:numPr>
        <w:snapToGrid w:val="0"/>
        <w:spacing w:before="72" w:beforeLines="30" w:after="72" w:afterLines="30" w:line="288" w:lineRule="auto"/>
        <w:ind w:left="800" w:leftChars="200" w:hanging="400" w:hangingChars="200"/>
        <w:jc w:val="both"/>
        <w:rPr>
          <w:rFonts w:eastAsia="Malgun Gothic" w:cs="Arial"/>
          <w:i/>
          <w:iCs/>
          <w:lang w:eastAsia="ko-KR"/>
        </w:rPr>
      </w:pPr>
      <w:r>
        <w:rPr>
          <w:rFonts w:eastAsia="宋体" w:cs="Arial"/>
          <w:i/>
          <w:iCs/>
        </w:rPr>
        <w:t>T</w:t>
      </w:r>
      <w:r>
        <w:rPr>
          <w:rFonts w:hint="eastAsia" w:eastAsia="宋体" w:cs="Arial"/>
          <w:i/>
          <w:iCs/>
        </w:rPr>
        <w:t xml:space="preserve">he SRS triggered by </w:t>
      </w:r>
      <w:r>
        <w:rPr>
          <w:rFonts w:hint="eastAsia" w:eastAsia="宋体"/>
          <w:i/>
          <w:iCs/>
        </w:rPr>
        <w:t xml:space="preserve">DCI format </w:t>
      </w:r>
      <w:r>
        <w:rPr>
          <w:rFonts w:eastAsia="宋体"/>
          <w:i/>
          <w:iCs/>
        </w:rPr>
        <w:t>0_1, 0_2, 1_1, and 1_2</w:t>
      </w:r>
      <w:r>
        <w:rPr>
          <w:rFonts w:hint="eastAsia" w:eastAsia="宋体"/>
          <w:i/>
          <w:iCs/>
        </w:rPr>
        <w:t xml:space="preserve"> is not only for usage of </w:t>
      </w:r>
      <w:r>
        <w:rPr>
          <w:rFonts w:eastAsia="宋体"/>
          <w:i/>
          <w:iCs/>
        </w:rPr>
        <w:t>“</w:t>
      </w:r>
      <w:r>
        <w:rPr>
          <w:rFonts w:hint="eastAsia" w:eastAsia="宋体"/>
          <w:i/>
          <w:iCs/>
        </w:rPr>
        <w:t>antenna switching</w:t>
      </w:r>
      <w:r>
        <w:rPr>
          <w:rFonts w:eastAsia="宋体"/>
          <w:i/>
          <w:iCs/>
        </w:rPr>
        <w:t>”</w:t>
      </w:r>
      <w:r>
        <w:rPr>
          <w:rFonts w:hint="eastAsia" w:eastAsia="宋体"/>
          <w:i/>
          <w:iCs/>
        </w:rPr>
        <w:t xml:space="preserve">, but </w:t>
      </w:r>
      <w:r>
        <w:rPr>
          <w:rFonts w:eastAsia="宋体"/>
          <w:i/>
          <w:iCs/>
        </w:rPr>
        <w:t xml:space="preserve">also </w:t>
      </w:r>
      <w:r>
        <w:rPr>
          <w:rFonts w:hint="eastAsia" w:eastAsia="宋体"/>
          <w:i/>
          <w:iCs/>
        </w:rPr>
        <w:t xml:space="preserve">applicable for </w:t>
      </w:r>
      <w:r>
        <w:rPr>
          <w:rFonts w:eastAsia="宋体"/>
          <w:i/>
          <w:iCs/>
        </w:rPr>
        <w:t>other</w:t>
      </w:r>
      <w:r>
        <w:rPr>
          <w:rFonts w:hint="eastAsia" w:eastAsia="宋体"/>
          <w:i/>
          <w:iCs/>
        </w:rPr>
        <w:t xml:space="preserve"> usages</w:t>
      </w:r>
      <w:r>
        <w:rPr>
          <w:rFonts w:eastAsia="宋体"/>
          <w:i/>
          <w:iCs/>
        </w:rPr>
        <w:t>.</w:t>
      </w:r>
    </w:p>
    <w:p>
      <w:pPr>
        <w:snapToGrid w:val="0"/>
        <w:spacing w:before="72" w:beforeLines="30" w:after="72" w:afterLines="30" w:line="288" w:lineRule="auto"/>
        <w:jc w:val="both"/>
        <w:rPr>
          <w:rFonts w:eastAsia="宋体"/>
          <w:i/>
          <w:iCs/>
        </w:rPr>
      </w:pPr>
      <w:r>
        <w:rPr>
          <w:rFonts w:hint="eastAsia" w:eastAsia="宋体"/>
          <w:b/>
          <w:i/>
        </w:rPr>
        <w:t xml:space="preserve">Proposal </w:t>
      </w:r>
      <w:r>
        <w:rPr>
          <w:rFonts w:eastAsia="宋体"/>
          <w:b/>
          <w:i/>
        </w:rPr>
        <w:t>3</w:t>
      </w:r>
      <w:r>
        <w:rPr>
          <w:rFonts w:hint="eastAsia"/>
          <w:b/>
          <w:i/>
        </w:rPr>
        <w:t xml:space="preserve">: </w:t>
      </w:r>
      <w:r>
        <w:rPr>
          <w:rFonts w:hint="eastAsia" w:eastAsia="宋体"/>
          <w:i/>
          <w:iCs/>
        </w:rPr>
        <w:t>There is no ambiguity for the closed loop power control behaviour for SRS carrier switching triggered by DCI format 1_1 or 1_2 in current spec.</w:t>
      </w:r>
    </w:p>
    <w:p>
      <w:pPr>
        <w:snapToGrid w:val="0"/>
        <w:spacing w:before="72" w:beforeLines="30" w:after="72" w:afterLines="30" w:line="288" w:lineRule="auto"/>
        <w:jc w:val="both"/>
      </w:pP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130"/>
        <w:spacing w:after="0"/>
        <w:ind w:left="363" w:hanging="363"/>
        <w:rPr>
          <w:rFonts w:eastAsia="宋体"/>
          <w:szCs w:val="20"/>
        </w:rPr>
      </w:pPr>
      <w:r>
        <w:rPr>
          <w:szCs w:val="20"/>
        </w:rPr>
        <w:t>Chair's Notes RAN1#1</w:t>
      </w:r>
      <w:r>
        <w:rPr>
          <w:rFonts w:eastAsia="宋体"/>
          <w:szCs w:val="20"/>
        </w:rPr>
        <w:t>1</w:t>
      </w:r>
      <w:r>
        <w:rPr>
          <w:rFonts w:hint="eastAsia" w:eastAsia="宋体"/>
          <w:szCs w:val="20"/>
        </w:rPr>
        <w:t>4</w:t>
      </w:r>
    </w:p>
    <w:p>
      <w:pPr>
        <w:pStyle w:val="130"/>
        <w:spacing w:after="0"/>
        <w:ind w:left="363" w:hanging="363"/>
        <w:jc w:val="both"/>
        <w:rPr>
          <w:rFonts w:eastAsia="宋体"/>
          <w:szCs w:val="20"/>
        </w:rPr>
      </w:pPr>
      <w:r>
        <w:rPr>
          <w:rFonts w:hint="eastAsia" w:eastAsia="宋体" w:cs="Times"/>
          <w:bCs/>
        </w:rPr>
        <w:t xml:space="preserve">R1-2310680 Moderator (Ericsson) </w:t>
      </w:r>
      <w:bookmarkStart w:id="2" w:name="_Hlk143772725"/>
      <w:r>
        <w:rPr>
          <w:rFonts w:hint="eastAsia" w:eastAsia="宋体" w:cs="Times"/>
          <w:bCs/>
        </w:rPr>
        <w:t xml:space="preserve">Summary #3 of NR Rel-15/16 maintenance discussion for aperiodic </w:t>
      </w:r>
      <w:bookmarkStart w:id="3" w:name="_GoBack"/>
      <w:bookmarkEnd w:id="3"/>
      <w:r>
        <w:rPr>
          <w:rFonts w:hint="eastAsia" w:eastAsia="宋体" w:cs="Times"/>
          <w:bCs/>
        </w:rPr>
        <w:t>triggering support for SRS carrier switching</w:t>
      </w:r>
      <w:bookmarkEnd w:id="2"/>
      <w:r>
        <w:rPr>
          <w:rFonts w:hint="eastAsia" w:eastAsia="宋体" w:cs="Times"/>
          <w:bCs/>
        </w:rPr>
        <w:t xml:space="preserve">. </w:t>
      </w:r>
    </w:p>
    <w:p>
      <w:pPr>
        <w:pStyle w:val="73"/>
        <w:numPr>
          <w:ilvl w:val="255"/>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A11168C9"/>
    <w:multiLevelType w:val="singleLevel"/>
    <w:tmpl w:val="A11168C9"/>
    <w:lvl w:ilvl="0" w:tentative="0">
      <w:start w:val="1"/>
      <w:numFmt w:val="decimal"/>
      <w:lvlText w:val="%1."/>
      <w:lvlJc w:val="left"/>
      <w:pPr>
        <w:ind w:left="425" w:hanging="425"/>
      </w:pPr>
      <w:rPr>
        <w:rFonts w:hint="default"/>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4D4D8D"/>
    <w:multiLevelType w:val="multilevel"/>
    <w:tmpl w:val="034D4D8D"/>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D67560A"/>
    <w:multiLevelType w:val="multilevel"/>
    <w:tmpl w:val="0D67560A"/>
    <w:lvl w:ilvl="0" w:tentative="0">
      <w:start w:val="1"/>
      <w:numFmt w:val="decimal"/>
      <w:pStyle w:val="12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39E54893"/>
    <w:multiLevelType w:val="multilevel"/>
    <w:tmpl w:val="39E5489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A877D64"/>
    <w:multiLevelType w:val="singleLevel"/>
    <w:tmpl w:val="3A877D64"/>
    <w:lvl w:ilvl="0" w:tentative="0">
      <w:start w:val="1"/>
      <w:numFmt w:val="decimal"/>
      <w:pStyle w:val="130"/>
      <w:lvlText w:val="[%1]"/>
      <w:lvlJc w:val="left"/>
      <w:pPr>
        <w:tabs>
          <w:tab w:val="left" w:pos="360"/>
        </w:tabs>
        <w:ind w:left="360" w:hanging="360"/>
      </w:pPr>
    </w:lvl>
  </w:abstractNum>
  <w:abstractNum w:abstractNumId="9">
    <w:nsid w:val="42C83144"/>
    <w:multiLevelType w:val="multilevel"/>
    <w:tmpl w:val="42C831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1">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8CA484A"/>
    <w:multiLevelType w:val="multilevel"/>
    <w:tmpl w:val="68CA48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4"/>
  </w:num>
  <w:num w:numId="4">
    <w:abstractNumId w:val="4"/>
  </w:num>
  <w:num w:numId="5">
    <w:abstractNumId w:val="13"/>
  </w:num>
  <w:num w:numId="6">
    <w:abstractNumId w:val="10"/>
  </w:num>
  <w:num w:numId="7">
    <w:abstractNumId w:val="5"/>
  </w:num>
  <w:num w:numId="8">
    <w:abstractNumId w:val="8"/>
  </w:num>
  <w:num w:numId="9">
    <w:abstractNumId w:val="6"/>
  </w:num>
  <w:num w:numId="10">
    <w:abstractNumId w:val="9"/>
  </w:num>
  <w:num w:numId="11">
    <w:abstractNumId w:val="12"/>
  </w:num>
  <w:num w:numId="12">
    <w:abstractNumId w:val="11"/>
  </w:num>
  <w:num w:numId="13">
    <w:abstractNumId w:val="7"/>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15"/>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DA7"/>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1FC"/>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33"/>
    <w:rsid w:val="00146BFA"/>
    <w:rsid w:val="00146F05"/>
    <w:rsid w:val="00146F84"/>
    <w:rsid w:val="00147219"/>
    <w:rsid w:val="00147542"/>
    <w:rsid w:val="0014797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030"/>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6F1C"/>
    <w:rsid w:val="00187878"/>
    <w:rsid w:val="001879E9"/>
    <w:rsid w:val="00187AA1"/>
    <w:rsid w:val="00187B3C"/>
    <w:rsid w:val="001900EF"/>
    <w:rsid w:val="001901A5"/>
    <w:rsid w:val="001901E9"/>
    <w:rsid w:val="0019039E"/>
    <w:rsid w:val="0019053A"/>
    <w:rsid w:val="00190F92"/>
    <w:rsid w:val="0019148C"/>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CF8"/>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662"/>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38"/>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A8C"/>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5E65"/>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4F8"/>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311"/>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60B"/>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50F"/>
    <w:rsid w:val="00445606"/>
    <w:rsid w:val="004459BE"/>
    <w:rsid w:val="00445A81"/>
    <w:rsid w:val="00445B43"/>
    <w:rsid w:val="0044606F"/>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0F8F"/>
    <w:rsid w:val="0048128D"/>
    <w:rsid w:val="0048140B"/>
    <w:rsid w:val="00481AC0"/>
    <w:rsid w:val="00481B60"/>
    <w:rsid w:val="004821C6"/>
    <w:rsid w:val="00482303"/>
    <w:rsid w:val="00482957"/>
    <w:rsid w:val="00482CD9"/>
    <w:rsid w:val="004837D0"/>
    <w:rsid w:val="00483D35"/>
    <w:rsid w:val="004846B9"/>
    <w:rsid w:val="004848DF"/>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794"/>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266"/>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779"/>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24F"/>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AD5"/>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BD4"/>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3D83"/>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5DF"/>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5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48B"/>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7D4"/>
    <w:rsid w:val="0072182E"/>
    <w:rsid w:val="007221ED"/>
    <w:rsid w:val="007225C3"/>
    <w:rsid w:val="00722700"/>
    <w:rsid w:val="00722E44"/>
    <w:rsid w:val="007233F5"/>
    <w:rsid w:val="0072394C"/>
    <w:rsid w:val="00723A92"/>
    <w:rsid w:val="00723CFD"/>
    <w:rsid w:val="00723FFF"/>
    <w:rsid w:val="00724262"/>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8D1"/>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36C"/>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17A53"/>
    <w:rsid w:val="0082034F"/>
    <w:rsid w:val="00820A80"/>
    <w:rsid w:val="00820D36"/>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79"/>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D18"/>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B2A"/>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3D0"/>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673"/>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4B2"/>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71B"/>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216"/>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1C3C"/>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4E1A"/>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4EF"/>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3DA1"/>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1CCF"/>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643"/>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B6A"/>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58E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51C"/>
    <w:rsid w:val="00C84E67"/>
    <w:rsid w:val="00C84EDF"/>
    <w:rsid w:val="00C85B84"/>
    <w:rsid w:val="00C85CAD"/>
    <w:rsid w:val="00C86031"/>
    <w:rsid w:val="00C86069"/>
    <w:rsid w:val="00C864A4"/>
    <w:rsid w:val="00C86F27"/>
    <w:rsid w:val="00C87318"/>
    <w:rsid w:val="00C87480"/>
    <w:rsid w:val="00C8776C"/>
    <w:rsid w:val="00C87AF6"/>
    <w:rsid w:val="00C87CAA"/>
    <w:rsid w:val="00C90C78"/>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43"/>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274"/>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92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44E"/>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37"/>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2E0"/>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EDC"/>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E15"/>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11432"/>
    <w:rsid w:val="01120E66"/>
    <w:rsid w:val="0115454E"/>
    <w:rsid w:val="011E4892"/>
    <w:rsid w:val="01242C11"/>
    <w:rsid w:val="013B1A2E"/>
    <w:rsid w:val="013B5510"/>
    <w:rsid w:val="013C4497"/>
    <w:rsid w:val="013D13C6"/>
    <w:rsid w:val="01422B07"/>
    <w:rsid w:val="01462EFE"/>
    <w:rsid w:val="01464745"/>
    <w:rsid w:val="014C1CFB"/>
    <w:rsid w:val="015D09A9"/>
    <w:rsid w:val="015E0BE9"/>
    <w:rsid w:val="0161607D"/>
    <w:rsid w:val="016847E7"/>
    <w:rsid w:val="01812C05"/>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2FC1677"/>
    <w:rsid w:val="030F5EB8"/>
    <w:rsid w:val="031B3D3A"/>
    <w:rsid w:val="03300F14"/>
    <w:rsid w:val="03305A3C"/>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0B18"/>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07C23"/>
    <w:rsid w:val="0516763D"/>
    <w:rsid w:val="05223E29"/>
    <w:rsid w:val="052B2B3D"/>
    <w:rsid w:val="054445DB"/>
    <w:rsid w:val="055A06C9"/>
    <w:rsid w:val="055B5DD3"/>
    <w:rsid w:val="05615409"/>
    <w:rsid w:val="05644CA9"/>
    <w:rsid w:val="056B33A0"/>
    <w:rsid w:val="05702DF2"/>
    <w:rsid w:val="05733EFD"/>
    <w:rsid w:val="05792BC3"/>
    <w:rsid w:val="058A745F"/>
    <w:rsid w:val="058D2653"/>
    <w:rsid w:val="05930449"/>
    <w:rsid w:val="05933657"/>
    <w:rsid w:val="05953D66"/>
    <w:rsid w:val="059F3CC7"/>
    <w:rsid w:val="05A11E98"/>
    <w:rsid w:val="05A9224A"/>
    <w:rsid w:val="05B56F8C"/>
    <w:rsid w:val="05C06E8C"/>
    <w:rsid w:val="05CF1D27"/>
    <w:rsid w:val="05DE7EFC"/>
    <w:rsid w:val="05E060C8"/>
    <w:rsid w:val="05E51777"/>
    <w:rsid w:val="05EA3121"/>
    <w:rsid w:val="05EA6BAE"/>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6FF4C8A"/>
    <w:rsid w:val="070A5CB1"/>
    <w:rsid w:val="070D6000"/>
    <w:rsid w:val="073D3D0E"/>
    <w:rsid w:val="07470651"/>
    <w:rsid w:val="074F79E7"/>
    <w:rsid w:val="075815C4"/>
    <w:rsid w:val="076A0810"/>
    <w:rsid w:val="07716096"/>
    <w:rsid w:val="0780126B"/>
    <w:rsid w:val="07933A83"/>
    <w:rsid w:val="07934010"/>
    <w:rsid w:val="07973398"/>
    <w:rsid w:val="079D12CF"/>
    <w:rsid w:val="07A46BE4"/>
    <w:rsid w:val="07AE7932"/>
    <w:rsid w:val="07AF11A1"/>
    <w:rsid w:val="07B814E5"/>
    <w:rsid w:val="07BD21D0"/>
    <w:rsid w:val="07BD4B03"/>
    <w:rsid w:val="07C169E4"/>
    <w:rsid w:val="07C239BC"/>
    <w:rsid w:val="07C27A8B"/>
    <w:rsid w:val="07D013A8"/>
    <w:rsid w:val="07D648D8"/>
    <w:rsid w:val="07E22A7A"/>
    <w:rsid w:val="07E9601C"/>
    <w:rsid w:val="07FD44E9"/>
    <w:rsid w:val="0805407D"/>
    <w:rsid w:val="08127126"/>
    <w:rsid w:val="08132E8B"/>
    <w:rsid w:val="081C2739"/>
    <w:rsid w:val="081D706E"/>
    <w:rsid w:val="081E70A6"/>
    <w:rsid w:val="085A6A73"/>
    <w:rsid w:val="085C0A8C"/>
    <w:rsid w:val="085D519A"/>
    <w:rsid w:val="086378F2"/>
    <w:rsid w:val="086D1BC3"/>
    <w:rsid w:val="086D2264"/>
    <w:rsid w:val="08706B4B"/>
    <w:rsid w:val="08715CEC"/>
    <w:rsid w:val="087C2164"/>
    <w:rsid w:val="088B79C8"/>
    <w:rsid w:val="08CE61CB"/>
    <w:rsid w:val="08D04983"/>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6A56C7"/>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5F279F"/>
    <w:rsid w:val="0A6F50FD"/>
    <w:rsid w:val="0A934843"/>
    <w:rsid w:val="0A980D85"/>
    <w:rsid w:val="0A9E4A8D"/>
    <w:rsid w:val="0A9F2012"/>
    <w:rsid w:val="0AAA6D9C"/>
    <w:rsid w:val="0AB15DD5"/>
    <w:rsid w:val="0AB53627"/>
    <w:rsid w:val="0AB6376C"/>
    <w:rsid w:val="0AB63BE7"/>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80370"/>
    <w:rsid w:val="0BDB1E35"/>
    <w:rsid w:val="0BDB6546"/>
    <w:rsid w:val="0BDD031D"/>
    <w:rsid w:val="0BDF6946"/>
    <w:rsid w:val="0BE0571E"/>
    <w:rsid w:val="0BE15659"/>
    <w:rsid w:val="0BE32529"/>
    <w:rsid w:val="0C005070"/>
    <w:rsid w:val="0C0A75FC"/>
    <w:rsid w:val="0C195365"/>
    <w:rsid w:val="0C1A6BD3"/>
    <w:rsid w:val="0C1D70C9"/>
    <w:rsid w:val="0C3314C7"/>
    <w:rsid w:val="0C6F4E58"/>
    <w:rsid w:val="0C724AF9"/>
    <w:rsid w:val="0C76751C"/>
    <w:rsid w:val="0CF956B1"/>
    <w:rsid w:val="0CFB1DB9"/>
    <w:rsid w:val="0D103D70"/>
    <w:rsid w:val="0D220294"/>
    <w:rsid w:val="0D283356"/>
    <w:rsid w:val="0D3A4A42"/>
    <w:rsid w:val="0D3F7D95"/>
    <w:rsid w:val="0D5773D6"/>
    <w:rsid w:val="0D592D60"/>
    <w:rsid w:val="0D594DB6"/>
    <w:rsid w:val="0D5B0509"/>
    <w:rsid w:val="0D5B411F"/>
    <w:rsid w:val="0D632B1E"/>
    <w:rsid w:val="0D6E771D"/>
    <w:rsid w:val="0D733852"/>
    <w:rsid w:val="0D7D7848"/>
    <w:rsid w:val="0D80206A"/>
    <w:rsid w:val="0D8E173E"/>
    <w:rsid w:val="0DA10A04"/>
    <w:rsid w:val="0DD6316B"/>
    <w:rsid w:val="0DD74FA9"/>
    <w:rsid w:val="0DDE45FC"/>
    <w:rsid w:val="0DED441A"/>
    <w:rsid w:val="0DF13B47"/>
    <w:rsid w:val="0DF6009D"/>
    <w:rsid w:val="0DFF3A62"/>
    <w:rsid w:val="0E090B69"/>
    <w:rsid w:val="0E0A5187"/>
    <w:rsid w:val="0E2D6B35"/>
    <w:rsid w:val="0E2F4311"/>
    <w:rsid w:val="0E332166"/>
    <w:rsid w:val="0E3917FF"/>
    <w:rsid w:val="0E3D4D05"/>
    <w:rsid w:val="0E3D5131"/>
    <w:rsid w:val="0E422A2D"/>
    <w:rsid w:val="0E613656"/>
    <w:rsid w:val="0E72787E"/>
    <w:rsid w:val="0E86024B"/>
    <w:rsid w:val="0E983A75"/>
    <w:rsid w:val="0E9F5739"/>
    <w:rsid w:val="0EA33EF7"/>
    <w:rsid w:val="0EB94B40"/>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9812EC"/>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770D7"/>
    <w:rsid w:val="115B389E"/>
    <w:rsid w:val="1168799E"/>
    <w:rsid w:val="118B5FDD"/>
    <w:rsid w:val="119466E3"/>
    <w:rsid w:val="11A10C39"/>
    <w:rsid w:val="11A64DBC"/>
    <w:rsid w:val="11AF324A"/>
    <w:rsid w:val="11B31B1D"/>
    <w:rsid w:val="11B56E24"/>
    <w:rsid w:val="11B814E6"/>
    <w:rsid w:val="11C21476"/>
    <w:rsid w:val="11C557B7"/>
    <w:rsid w:val="11DD6585"/>
    <w:rsid w:val="11E40B58"/>
    <w:rsid w:val="11F101CA"/>
    <w:rsid w:val="1201011E"/>
    <w:rsid w:val="120B6EA9"/>
    <w:rsid w:val="1228310E"/>
    <w:rsid w:val="12313D6F"/>
    <w:rsid w:val="12325B1D"/>
    <w:rsid w:val="1244691E"/>
    <w:rsid w:val="124D2544"/>
    <w:rsid w:val="1251591B"/>
    <w:rsid w:val="12610602"/>
    <w:rsid w:val="126B461E"/>
    <w:rsid w:val="127D72F2"/>
    <w:rsid w:val="1296098F"/>
    <w:rsid w:val="12A908D3"/>
    <w:rsid w:val="12AA7F02"/>
    <w:rsid w:val="12AC48DF"/>
    <w:rsid w:val="12B31A9B"/>
    <w:rsid w:val="12B47253"/>
    <w:rsid w:val="12C14396"/>
    <w:rsid w:val="12DE33CA"/>
    <w:rsid w:val="12EA7758"/>
    <w:rsid w:val="12ED1E9A"/>
    <w:rsid w:val="12EF3F1E"/>
    <w:rsid w:val="12F71324"/>
    <w:rsid w:val="12FC274E"/>
    <w:rsid w:val="12FF52DE"/>
    <w:rsid w:val="13030235"/>
    <w:rsid w:val="13063F94"/>
    <w:rsid w:val="130C0439"/>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DF2278"/>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637D36"/>
    <w:rsid w:val="14643C15"/>
    <w:rsid w:val="147C2A02"/>
    <w:rsid w:val="147E33CA"/>
    <w:rsid w:val="1487373C"/>
    <w:rsid w:val="14960C1B"/>
    <w:rsid w:val="14B0700C"/>
    <w:rsid w:val="14C02505"/>
    <w:rsid w:val="14C34089"/>
    <w:rsid w:val="14C60F5C"/>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A87402"/>
    <w:rsid w:val="15C94A90"/>
    <w:rsid w:val="15CC0A4A"/>
    <w:rsid w:val="15D74588"/>
    <w:rsid w:val="15E648C3"/>
    <w:rsid w:val="15EB4378"/>
    <w:rsid w:val="15FB4E72"/>
    <w:rsid w:val="160B185E"/>
    <w:rsid w:val="1628036C"/>
    <w:rsid w:val="162D6692"/>
    <w:rsid w:val="16333F75"/>
    <w:rsid w:val="163B0388"/>
    <w:rsid w:val="16435A3F"/>
    <w:rsid w:val="164D2E5E"/>
    <w:rsid w:val="16702D89"/>
    <w:rsid w:val="16704155"/>
    <w:rsid w:val="16796F0F"/>
    <w:rsid w:val="1688556A"/>
    <w:rsid w:val="168D2189"/>
    <w:rsid w:val="16A00FDF"/>
    <w:rsid w:val="16A32AAC"/>
    <w:rsid w:val="16A470C1"/>
    <w:rsid w:val="16AA643D"/>
    <w:rsid w:val="16AF0615"/>
    <w:rsid w:val="16B31741"/>
    <w:rsid w:val="16B82A50"/>
    <w:rsid w:val="16BD0B49"/>
    <w:rsid w:val="16C56DC6"/>
    <w:rsid w:val="16D50CFC"/>
    <w:rsid w:val="16E33AB3"/>
    <w:rsid w:val="16E57501"/>
    <w:rsid w:val="16EB76EF"/>
    <w:rsid w:val="17141C1D"/>
    <w:rsid w:val="171A00BC"/>
    <w:rsid w:val="171B0546"/>
    <w:rsid w:val="17304A49"/>
    <w:rsid w:val="173353C2"/>
    <w:rsid w:val="174224E7"/>
    <w:rsid w:val="17444642"/>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8002CEE"/>
    <w:rsid w:val="1802776E"/>
    <w:rsid w:val="180414A0"/>
    <w:rsid w:val="18077070"/>
    <w:rsid w:val="18105F38"/>
    <w:rsid w:val="18117661"/>
    <w:rsid w:val="18185B1D"/>
    <w:rsid w:val="18276946"/>
    <w:rsid w:val="18381AC8"/>
    <w:rsid w:val="18414CA2"/>
    <w:rsid w:val="18523ADE"/>
    <w:rsid w:val="18660CD4"/>
    <w:rsid w:val="1866694B"/>
    <w:rsid w:val="186C1ACE"/>
    <w:rsid w:val="186D267B"/>
    <w:rsid w:val="186E6282"/>
    <w:rsid w:val="18890477"/>
    <w:rsid w:val="188C5B30"/>
    <w:rsid w:val="188C6C7D"/>
    <w:rsid w:val="18960812"/>
    <w:rsid w:val="189C7EF6"/>
    <w:rsid w:val="18B04B4D"/>
    <w:rsid w:val="18C5316D"/>
    <w:rsid w:val="18C95DAC"/>
    <w:rsid w:val="18E45EDB"/>
    <w:rsid w:val="18E51357"/>
    <w:rsid w:val="18E87E12"/>
    <w:rsid w:val="18F5052C"/>
    <w:rsid w:val="18F759A6"/>
    <w:rsid w:val="19041774"/>
    <w:rsid w:val="191D14D9"/>
    <w:rsid w:val="191D6F79"/>
    <w:rsid w:val="191E393A"/>
    <w:rsid w:val="19280474"/>
    <w:rsid w:val="193D27C8"/>
    <w:rsid w:val="19693EEF"/>
    <w:rsid w:val="196B5F41"/>
    <w:rsid w:val="199860B4"/>
    <w:rsid w:val="19A33A02"/>
    <w:rsid w:val="19D1732F"/>
    <w:rsid w:val="19DD2371"/>
    <w:rsid w:val="19EB7BC9"/>
    <w:rsid w:val="19F240F4"/>
    <w:rsid w:val="19F92180"/>
    <w:rsid w:val="1A001213"/>
    <w:rsid w:val="1A040482"/>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65037"/>
    <w:rsid w:val="1AEC64F5"/>
    <w:rsid w:val="1AF2383D"/>
    <w:rsid w:val="1AF52528"/>
    <w:rsid w:val="1B012875"/>
    <w:rsid w:val="1B157C1A"/>
    <w:rsid w:val="1B1A6E4B"/>
    <w:rsid w:val="1B211C8A"/>
    <w:rsid w:val="1B325062"/>
    <w:rsid w:val="1B333D86"/>
    <w:rsid w:val="1B4C5F06"/>
    <w:rsid w:val="1B572C7F"/>
    <w:rsid w:val="1B5734B2"/>
    <w:rsid w:val="1B5C26DD"/>
    <w:rsid w:val="1B70494E"/>
    <w:rsid w:val="1B741EAE"/>
    <w:rsid w:val="1B7A3044"/>
    <w:rsid w:val="1B82426F"/>
    <w:rsid w:val="1B8A117B"/>
    <w:rsid w:val="1B99173F"/>
    <w:rsid w:val="1B9E5782"/>
    <w:rsid w:val="1B9F2F5B"/>
    <w:rsid w:val="1BA31D38"/>
    <w:rsid w:val="1BAC798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607F36"/>
    <w:rsid w:val="1C6646A5"/>
    <w:rsid w:val="1C9A04D0"/>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55F02"/>
    <w:rsid w:val="1DCC2895"/>
    <w:rsid w:val="1DCC2B42"/>
    <w:rsid w:val="1DD313EE"/>
    <w:rsid w:val="1DF24DA6"/>
    <w:rsid w:val="1DF43659"/>
    <w:rsid w:val="1DFC21EE"/>
    <w:rsid w:val="1E0E4DD7"/>
    <w:rsid w:val="1E202860"/>
    <w:rsid w:val="1E443C32"/>
    <w:rsid w:val="1E4473F8"/>
    <w:rsid w:val="1E490459"/>
    <w:rsid w:val="1E50751B"/>
    <w:rsid w:val="1E545B82"/>
    <w:rsid w:val="1E6D1C74"/>
    <w:rsid w:val="1E736E4E"/>
    <w:rsid w:val="1E7E5EB1"/>
    <w:rsid w:val="1E85157F"/>
    <w:rsid w:val="1E9B048D"/>
    <w:rsid w:val="1EA61B83"/>
    <w:rsid w:val="1EA82227"/>
    <w:rsid w:val="1EAD188D"/>
    <w:rsid w:val="1EB200F0"/>
    <w:rsid w:val="1EBB5B15"/>
    <w:rsid w:val="1EBC72D1"/>
    <w:rsid w:val="1EBC7347"/>
    <w:rsid w:val="1EBF31D2"/>
    <w:rsid w:val="1EC642BC"/>
    <w:rsid w:val="1ECF5F59"/>
    <w:rsid w:val="1EDC2551"/>
    <w:rsid w:val="1EF23920"/>
    <w:rsid w:val="1EF80396"/>
    <w:rsid w:val="1EFC175F"/>
    <w:rsid w:val="1F032AB6"/>
    <w:rsid w:val="1F0B2934"/>
    <w:rsid w:val="1F1C29EF"/>
    <w:rsid w:val="1F234826"/>
    <w:rsid w:val="1F2617FF"/>
    <w:rsid w:val="1F31645A"/>
    <w:rsid w:val="1F4773C4"/>
    <w:rsid w:val="1F4E188E"/>
    <w:rsid w:val="1F517BAC"/>
    <w:rsid w:val="1F5E0D38"/>
    <w:rsid w:val="1F5F4414"/>
    <w:rsid w:val="1F637F58"/>
    <w:rsid w:val="1F6775E6"/>
    <w:rsid w:val="1F826970"/>
    <w:rsid w:val="1F972A67"/>
    <w:rsid w:val="1FA317AB"/>
    <w:rsid w:val="1FA415FD"/>
    <w:rsid w:val="1FA60478"/>
    <w:rsid w:val="1FA9286D"/>
    <w:rsid w:val="1FB66D49"/>
    <w:rsid w:val="1FC65BDA"/>
    <w:rsid w:val="1FC67F01"/>
    <w:rsid w:val="1FCB673D"/>
    <w:rsid w:val="1FCC738F"/>
    <w:rsid w:val="1FEE648E"/>
    <w:rsid w:val="1FF433BA"/>
    <w:rsid w:val="1FF9202F"/>
    <w:rsid w:val="20003026"/>
    <w:rsid w:val="200F3B23"/>
    <w:rsid w:val="201967D7"/>
    <w:rsid w:val="20374786"/>
    <w:rsid w:val="2039386F"/>
    <w:rsid w:val="20515762"/>
    <w:rsid w:val="20601C10"/>
    <w:rsid w:val="20610F1F"/>
    <w:rsid w:val="2068761A"/>
    <w:rsid w:val="206A35BB"/>
    <w:rsid w:val="20757C7B"/>
    <w:rsid w:val="20805A39"/>
    <w:rsid w:val="208650E9"/>
    <w:rsid w:val="20A13861"/>
    <w:rsid w:val="20A47AD9"/>
    <w:rsid w:val="20BB0C31"/>
    <w:rsid w:val="20C66D8E"/>
    <w:rsid w:val="20CF37FC"/>
    <w:rsid w:val="20D717F3"/>
    <w:rsid w:val="20DA67C8"/>
    <w:rsid w:val="20DE03D5"/>
    <w:rsid w:val="20DF7769"/>
    <w:rsid w:val="20E02D05"/>
    <w:rsid w:val="20F01565"/>
    <w:rsid w:val="20F12135"/>
    <w:rsid w:val="20F90AAC"/>
    <w:rsid w:val="20FA405B"/>
    <w:rsid w:val="212B616E"/>
    <w:rsid w:val="213121BA"/>
    <w:rsid w:val="213B540E"/>
    <w:rsid w:val="214A2960"/>
    <w:rsid w:val="214E5FEC"/>
    <w:rsid w:val="214E6349"/>
    <w:rsid w:val="214F3BD3"/>
    <w:rsid w:val="215302B9"/>
    <w:rsid w:val="215670DE"/>
    <w:rsid w:val="21613890"/>
    <w:rsid w:val="216A75F1"/>
    <w:rsid w:val="21783CF4"/>
    <w:rsid w:val="2183462B"/>
    <w:rsid w:val="218E4A09"/>
    <w:rsid w:val="218E6399"/>
    <w:rsid w:val="21974E6F"/>
    <w:rsid w:val="219C6DDD"/>
    <w:rsid w:val="219D7448"/>
    <w:rsid w:val="21BE776A"/>
    <w:rsid w:val="21D15181"/>
    <w:rsid w:val="21D416C6"/>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61BC3"/>
    <w:rsid w:val="23174390"/>
    <w:rsid w:val="231847B8"/>
    <w:rsid w:val="231E3ED2"/>
    <w:rsid w:val="232A5278"/>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808CD"/>
    <w:rsid w:val="240E0128"/>
    <w:rsid w:val="2415698C"/>
    <w:rsid w:val="241E7985"/>
    <w:rsid w:val="242C6B52"/>
    <w:rsid w:val="243026FF"/>
    <w:rsid w:val="24351B4F"/>
    <w:rsid w:val="243647BB"/>
    <w:rsid w:val="24420388"/>
    <w:rsid w:val="24501237"/>
    <w:rsid w:val="24576A62"/>
    <w:rsid w:val="245E385D"/>
    <w:rsid w:val="246A0938"/>
    <w:rsid w:val="246E76BE"/>
    <w:rsid w:val="24762507"/>
    <w:rsid w:val="248219BA"/>
    <w:rsid w:val="24863B93"/>
    <w:rsid w:val="24946A09"/>
    <w:rsid w:val="24975612"/>
    <w:rsid w:val="249E3719"/>
    <w:rsid w:val="24A2659E"/>
    <w:rsid w:val="24AF255D"/>
    <w:rsid w:val="24B346B5"/>
    <w:rsid w:val="24B606B7"/>
    <w:rsid w:val="24D92A69"/>
    <w:rsid w:val="24EC3BCA"/>
    <w:rsid w:val="24EC4ADF"/>
    <w:rsid w:val="24EF6448"/>
    <w:rsid w:val="24F71B8F"/>
    <w:rsid w:val="24F92CDE"/>
    <w:rsid w:val="24FA33BA"/>
    <w:rsid w:val="250C0B5D"/>
    <w:rsid w:val="25130959"/>
    <w:rsid w:val="25335BFF"/>
    <w:rsid w:val="25353A77"/>
    <w:rsid w:val="253D4E51"/>
    <w:rsid w:val="25462DA6"/>
    <w:rsid w:val="255A27AA"/>
    <w:rsid w:val="257D015E"/>
    <w:rsid w:val="25862F9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00326"/>
    <w:rsid w:val="26412189"/>
    <w:rsid w:val="26517452"/>
    <w:rsid w:val="26566E1C"/>
    <w:rsid w:val="266E25B6"/>
    <w:rsid w:val="2679079E"/>
    <w:rsid w:val="267F4FDD"/>
    <w:rsid w:val="26805F58"/>
    <w:rsid w:val="268120E0"/>
    <w:rsid w:val="268B4EFD"/>
    <w:rsid w:val="269B4D9B"/>
    <w:rsid w:val="26A10A64"/>
    <w:rsid w:val="26A24282"/>
    <w:rsid w:val="26BB6790"/>
    <w:rsid w:val="26C84C3F"/>
    <w:rsid w:val="26CA39FA"/>
    <w:rsid w:val="26D85E33"/>
    <w:rsid w:val="26DB2072"/>
    <w:rsid w:val="26E1652E"/>
    <w:rsid w:val="26F96BD0"/>
    <w:rsid w:val="270B4A30"/>
    <w:rsid w:val="270F1235"/>
    <w:rsid w:val="27102C2D"/>
    <w:rsid w:val="27154206"/>
    <w:rsid w:val="271D238B"/>
    <w:rsid w:val="272A62FD"/>
    <w:rsid w:val="273460AC"/>
    <w:rsid w:val="2737495D"/>
    <w:rsid w:val="274602C0"/>
    <w:rsid w:val="274E64D1"/>
    <w:rsid w:val="275C7865"/>
    <w:rsid w:val="275E2467"/>
    <w:rsid w:val="27862FAB"/>
    <w:rsid w:val="278F67DD"/>
    <w:rsid w:val="27B778B7"/>
    <w:rsid w:val="27BF0D59"/>
    <w:rsid w:val="27CE4805"/>
    <w:rsid w:val="27DC01C9"/>
    <w:rsid w:val="27E53287"/>
    <w:rsid w:val="27E8590F"/>
    <w:rsid w:val="27EA6D62"/>
    <w:rsid w:val="27EE4F0B"/>
    <w:rsid w:val="28045E91"/>
    <w:rsid w:val="28115915"/>
    <w:rsid w:val="28151DED"/>
    <w:rsid w:val="28300784"/>
    <w:rsid w:val="28316877"/>
    <w:rsid w:val="283F2A39"/>
    <w:rsid w:val="285B65EE"/>
    <w:rsid w:val="28630E79"/>
    <w:rsid w:val="28660101"/>
    <w:rsid w:val="286E6DB7"/>
    <w:rsid w:val="288F225C"/>
    <w:rsid w:val="28950C43"/>
    <w:rsid w:val="28963582"/>
    <w:rsid w:val="289E6725"/>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906970"/>
    <w:rsid w:val="2AA47786"/>
    <w:rsid w:val="2AAA19F3"/>
    <w:rsid w:val="2AAD65EE"/>
    <w:rsid w:val="2AB23403"/>
    <w:rsid w:val="2ABC71D5"/>
    <w:rsid w:val="2AC37547"/>
    <w:rsid w:val="2AC77380"/>
    <w:rsid w:val="2ADD6AFD"/>
    <w:rsid w:val="2ADE6550"/>
    <w:rsid w:val="2AE0413B"/>
    <w:rsid w:val="2AE828B7"/>
    <w:rsid w:val="2AEA0CBC"/>
    <w:rsid w:val="2AFE0D9C"/>
    <w:rsid w:val="2B28747F"/>
    <w:rsid w:val="2B2E0309"/>
    <w:rsid w:val="2B422946"/>
    <w:rsid w:val="2B4476AA"/>
    <w:rsid w:val="2B5B34DC"/>
    <w:rsid w:val="2B6D12EE"/>
    <w:rsid w:val="2B76579E"/>
    <w:rsid w:val="2B7973CB"/>
    <w:rsid w:val="2B831E93"/>
    <w:rsid w:val="2B885C3B"/>
    <w:rsid w:val="2B964DED"/>
    <w:rsid w:val="2B9B3546"/>
    <w:rsid w:val="2BA57D96"/>
    <w:rsid w:val="2BAE29A1"/>
    <w:rsid w:val="2BB66FC6"/>
    <w:rsid w:val="2BBE438D"/>
    <w:rsid w:val="2BD315B0"/>
    <w:rsid w:val="2BE373EE"/>
    <w:rsid w:val="2BEE2628"/>
    <w:rsid w:val="2BFC3156"/>
    <w:rsid w:val="2C0A73E9"/>
    <w:rsid w:val="2C287F50"/>
    <w:rsid w:val="2C295EB9"/>
    <w:rsid w:val="2C35729B"/>
    <w:rsid w:val="2C4628DA"/>
    <w:rsid w:val="2C575DDE"/>
    <w:rsid w:val="2C622710"/>
    <w:rsid w:val="2C734CA0"/>
    <w:rsid w:val="2C7A1A31"/>
    <w:rsid w:val="2C7C7D79"/>
    <w:rsid w:val="2C83115A"/>
    <w:rsid w:val="2C8462E6"/>
    <w:rsid w:val="2C8B517A"/>
    <w:rsid w:val="2C9466E2"/>
    <w:rsid w:val="2C9E7A4A"/>
    <w:rsid w:val="2C9E7CD8"/>
    <w:rsid w:val="2CAF6B04"/>
    <w:rsid w:val="2CB0279E"/>
    <w:rsid w:val="2CBA10B7"/>
    <w:rsid w:val="2CD12AE5"/>
    <w:rsid w:val="2D1352C4"/>
    <w:rsid w:val="2D310CA2"/>
    <w:rsid w:val="2D3A323B"/>
    <w:rsid w:val="2D4B55E5"/>
    <w:rsid w:val="2D4C0E6E"/>
    <w:rsid w:val="2D53589F"/>
    <w:rsid w:val="2D64182E"/>
    <w:rsid w:val="2D7646A7"/>
    <w:rsid w:val="2D8B26BE"/>
    <w:rsid w:val="2D926963"/>
    <w:rsid w:val="2DA84AAF"/>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272A0"/>
    <w:rsid w:val="2E493DCE"/>
    <w:rsid w:val="2E497A0B"/>
    <w:rsid w:val="2E503992"/>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ED0E53"/>
    <w:rsid w:val="2EFA0186"/>
    <w:rsid w:val="2F0236C3"/>
    <w:rsid w:val="2F082BB8"/>
    <w:rsid w:val="2F0A286A"/>
    <w:rsid w:val="2F0F048D"/>
    <w:rsid w:val="2F140F9B"/>
    <w:rsid w:val="2F1C0E0B"/>
    <w:rsid w:val="2F2879B4"/>
    <w:rsid w:val="2F2B5ABF"/>
    <w:rsid w:val="2F2E604D"/>
    <w:rsid w:val="2F417886"/>
    <w:rsid w:val="2F5D2DA3"/>
    <w:rsid w:val="2F7B2C6A"/>
    <w:rsid w:val="2F882E85"/>
    <w:rsid w:val="2F9A7F4A"/>
    <w:rsid w:val="2FC733B8"/>
    <w:rsid w:val="2FCA4F20"/>
    <w:rsid w:val="2FFD02B0"/>
    <w:rsid w:val="300C4C70"/>
    <w:rsid w:val="30103E74"/>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8016F"/>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392DF7"/>
    <w:rsid w:val="313E3923"/>
    <w:rsid w:val="314114EF"/>
    <w:rsid w:val="31442CD4"/>
    <w:rsid w:val="31445B9B"/>
    <w:rsid w:val="31533E67"/>
    <w:rsid w:val="315C3CC9"/>
    <w:rsid w:val="316B13D5"/>
    <w:rsid w:val="31720F1D"/>
    <w:rsid w:val="31732CAF"/>
    <w:rsid w:val="31745B98"/>
    <w:rsid w:val="317A7F18"/>
    <w:rsid w:val="317D58BC"/>
    <w:rsid w:val="317E525C"/>
    <w:rsid w:val="319951C3"/>
    <w:rsid w:val="31B347D1"/>
    <w:rsid w:val="31BF03E5"/>
    <w:rsid w:val="31CB03B0"/>
    <w:rsid w:val="31D3431C"/>
    <w:rsid w:val="31E65427"/>
    <w:rsid w:val="31EA2929"/>
    <w:rsid w:val="31F33BFC"/>
    <w:rsid w:val="31F43BF9"/>
    <w:rsid w:val="31F96A5C"/>
    <w:rsid w:val="31FB63BA"/>
    <w:rsid w:val="31FC3EEA"/>
    <w:rsid w:val="31FE3F69"/>
    <w:rsid w:val="32006ED8"/>
    <w:rsid w:val="32057053"/>
    <w:rsid w:val="320733C3"/>
    <w:rsid w:val="32087FC3"/>
    <w:rsid w:val="321C18F4"/>
    <w:rsid w:val="321C2B52"/>
    <w:rsid w:val="321F61EC"/>
    <w:rsid w:val="322B314A"/>
    <w:rsid w:val="322B74A2"/>
    <w:rsid w:val="323036BA"/>
    <w:rsid w:val="32380C23"/>
    <w:rsid w:val="323E46BF"/>
    <w:rsid w:val="324F04DB"/>
    <w:rsid w:val="32503DFA"/>
    <w:rsid w:val="326F5200"/>
    <w:rsid w:val="32702FC0"/>
    <w:rsid w:val="327144B7"/>
    <w:rsid w:val="328F2182"/>
    <w:rsid w:val="32B61BCA"/>
    <w:rsid w:val="32CA65F9"/>
    <w:rsid w:val="32CB5151"/>
    <w:rsid w:val="32D942C8"/>
    <w:rsid w:val="32DC53C1"/>
    <w:rsid w:val="32DF028C"/>
    <w:rsid w:val="32E7512E"/>
    <w:rsid w:val="32F43E32"/>
    <w:rsid w:val="33054854"/>
    <w:rsid w:val="33054FB0"/>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234599"/>
    <w:rsid w:val="344127C5"/>
    <w:rsid w:val="344241AA"/>
    <w:rsid w:val="3449655C"/>
    <w:rsid w:val="34526E6E"/>
    <w:rsid w:val="345B0A32"/>
    <w:rsid w:val="345B1895"/>
    <w:rsid w:val="3463085A"/>
    <w:rsid w:val="3485590E"/>
    <w:rsid w:val="34946C2E"/>
    <w:rsid w:val="34A24AD6"/>
    <w:rsid w:val="34C04708"/>
    <w:rsid w:val="34C967AE"/>
    <w:rsid w:val="34D46D17"/>
    <w:rsid w:val="34DB6424"/>
    <w:rsid w:val="34FB2B80"/>
    <w:rsid w:val="34FD5844"/>
    <w:rsid w:val="350D6B96"/>
    <w:rsid w:val="3518459B"/>
    <w:rsid w:val="35280DED"/>
    <w:rsid w:val="3529561D"/>
    <w:rsid w:val="35463167"/>
    <w:rsid w:val="35503CF3"/>
    <w:rsid w:val="35662E36"/>
    <w:rsid w:val="35665ADB"/>
    <w:rsid w:val="35756DB8"/>
    <w:rsid w:val="35816EB9"/>
    <w:rsid w:val="35821E3D"/>
    <w:rsid w:val="359F5261"/>
    <w:rsid w:val="35B35F81"/>
    <w:rsid w:val="35C2434B"/>
    <w:rsid w:val="35DA7EB0"/>
    <w:rsid w:val="35DB6559"/>
    <w:rsid w:val="35DE1963"/>
    <w:rsid w:val="35F421D8"/>
    <w:rsid w:val="35FD53C0"/>
    <w:rsid w:val="35FE7215"/>
    <w:rsid w:val="35FF2DF2"/>
    <w:rsid w:val="36000F59"/>
    <w:rsid w:val="3600703E"/>
    <w:rsid w:val="360A456E"/>
    <w:rsid w:val="360B232F"/>
    <w:rsid w:val="36103C4E"/>
    <w:rsid w:val="361D59BA"/>
    <w:rsid w:val="36247CCA"/>
    <w:rsid w:val="36280FB0"/>
    <w:rsid w:val="36400759"/>
    <w:rsid w:val="364225B8"/>
    <w:rsid w:val="364B4F18"/>
    <w:rsid w:val="364E7ED2"/>
    <w:rsid w:val="36544E83"/>
    <w:rsid w:val="365C59B6"/>
    <w:rsid w:val="36601F32"/>
    <w:rsid w:val="36631C6B"/>
    <w:rsid w:val="36684B33"/>
    <w:rsid w:val="367B06EC"/>
    <w:rsid w:val="367B49B4"/>
    <w:rsid w:val="368400A0"/>
    <w:rsid w:val="368B76C7"/>
    <w:rsid w:val="36A57135"/>
    <w:rsid w:val="36AF0D32"/>
    <w:rsid w:val="36C10723"/>
    <w:rsid w:val="36C5766F"/>
    <w:rsid w:val="36D704F3"/>
    <w:rsid w:val="36E90250"/>
    <w:rsid w:val="36ED465C"/>
    <w:rsid w:val="36F13515"/>
    <w:rsid w:val="36F1744B"/>
    <w:rsid w:val="36F3650A"/>
    <w:rsid w:val="370058B6"/>
    <w:rsid w:val="37035AD3"/>
    <w:rsid w:val="37066B46"/>
    <w:rsid w:val="37131885"/>
    <w:rsid w:val="372E53E1"/>
    <w:rsid w:val="37366323"/>
    <w:rsid w:val="374576D7"/>
    <w:rsid w:val="37556EFB"/>
    <w:rsid w:val="375D35DC"/>
    <w:rsid w:val="37634C0D"/>
    <w:rsid w:val="37635AA2"/>
    <w:rsid w:val="376D038A"/>
    <w:rsid w:val="37731B3C"/>
    <w:rsid w:val="378D4EC4"/>
    <w:rsid w:val="379127D4"/>
    <w:rsid w:val="3794359E"/>
    <w:rsid w:val="37AE4AA3"/>
    <w:rsid w:val="37AF00F6"/>
    <w:rsid w:val="37B01FC8"/>
    <w:rsid w:val="37B87A68"/>
    <w:rsid w:val="37BE275C"/>
    <w:rsid w:val="37F66861"/>
    <w:rsid w:val="37F7211A"/>
    <w:rsid w:val="37FD2BB1"/>
    <w:rsid w:val="37FE1821"/>
    <w:rsid w:val="38115BCA"/>
    <w:rsid w:val="381D63E4"/>
    <w:rsid w:val="38234FDD"/>
    <w:rsid w:val="382C5123"/>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264B"/>
    <w:rsid w:val="39235BBC"/>
    <w:rsid w:val="392E7D9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B335AC"/>
    <w:rsid w:val="3BC165FE"/>
    <w:rsid w:val="3BC71B43"/>
    <w:rsid w:val="3BD3067E"/>
    <w:rsid w:val="3BD53AB5"/>
    <w:rsid w:val="3BDF0A62"/>
    <w:rsid w:val="3BEF40B2"/>
    <w:rsid w:val="3BFF61D4"/>
    <w:rsid w:val="3C0104C3"/>
    <w:rsid w:val="3C054F49"/>
    <w:rsid w:val="3C0A7E90"/>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A106A"/>
    <w:rsid w:val="3D0E7345"/>
    <w:rsid w:val="3D277613"/>
    <w:rsid w:val="3D2F2FAD"/>
    <w:rsid w:val="3D3C5369"/>
    <w:rsid w:val="3D4E7991"/>
    <w:rsid w:val="3D5742AE"/>
    <w:rsid w:val="3D66205D"/>
    <w:rsid w:val="3D6D5EA9"/>
    <w:rsid w:val="3D7004A1"/>
    <w:rsid w:val="3D7849C8"/>
    <w:rsid w:val="3D7954D2"/>
    <w:rsid w:val="3D7F43EC"/>
    <w:rsid w:val="3D937404"/>
    <w:rsid w:val="3DA54021"/>
    <w:rsid w:val="3DC60482"/>
    <w:rsid w:val="3DD171A7"/>
    <w:rsid w:val="3DD93A77"/>
    <w:rsid w:val="3DDC1724"/>
    <w:rsid w:val="3DEC1B94"/>
    <w:rsid w:val="3DF54D89"/>
    <w:rsid w:val="3E033569"/>
    <w:rsid w:val="3E0A084D"/>
    <w:rsid w:val="3E0D78E5"/>
    <w:rsid w:val="3E0E3DB6"/>
    <w:rsid w:val="3E111122"/>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AF1665"/>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6820A1"/>
    <w:rsid w:val="3F820F1F"/>
    <w:rsid w:val="3F9529AF"/>
    <w:rsid w:val="3F9819C8"/>
    <w:rsid w:val="3FB1447F"/>
    <w:rsid w:val="3FC35AFC"/>
    <w:rsid w:val="3FC41983"/>
    <w:rsid w:val="3FD1414D"/>
    <w:rsid w:val="3FD81218"/>
    <w:rsid w:val="3FE0724A"/>
    <w:rsid w:val="3FEE5DD3"/>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D0757D"/>
    <w:rsid w:val="40E17710"/>
    <w:rsid w:val="40E86C9E"/>
    <w:rsid w:val="40F347AB"/>
    <w:rsid w:val="40F83F72"/>
    <w:rsid w:val="41060E9E"/>
    <w:rsid w:val="41076FBE"/>
    <w:rsid w:val="41126336"/>
    <w:rsid w:val="411713CA"/>
    <w:rsid w:val="411A6663"/>
    <w:rsid w:val="412D5086"/>
    <w:rsid w:val="41390F2B"/>
    <w:rsid w:val="41490BDC"/>
    <w:rsid w:val="414B2D54"/>
    <w:rsid w:val="41614F01"/>
    <w:rsid w:val="416E59E3"/>
    <w:rsid w:val="417C4EC1"/>
    <w:rsid w:val="41904377"/>
    <w:rsid w:val="41A664B7"/>
    <w:rsid w:val="41A838F3"/>
    <w:rsid w:val="41B601E7"/>
    <w:rsid w:val="41C8349D"/>
    <w:rsid w:val="41C855F3"/>
    <w:rsid w:val="41CF3C25"/>
    <w:rsid w:val="41D26FA7"/>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F4C55"/>
    <w:rsid w:val="42C845D8"/>
    <w:rsid w:val="42D830AD"/>
    <w:rsid w:val="42F91034"/>
    <w:rsid w:val="430D271D"/>
    <w:rsid w:val="431C1C4F"/>
    <w:rsid w:val="43262E27"/>
    <w:rsid w:val="434841F7"/>
    <w:rsid w:val="434B5B64"/>
    <w:rsid w:val="434D6B99"/>
    <w:rsid w:val="43524A05"/>
    <w:rsid w:val="435D2298"/>
    <w:rsid w:val="43670072"/>
    <w:rsid w:val="437F792B"/>
    <w:rsid w:val="43803E8F"/>
    <w:rsid w:val="43871CB4"/>
    <w:rsid w:val="439D4B10"/>
    <w:rsid w:val="43A77BF2"/>
    <w:rsid w:val="43BE214E"/>
    <w:rsid w:val="43C34694"/>
    <w:rsid w:val="43EA3DFE"/>
    <w:rsid w:val="43ED298C"/>
    <w:rsid w:val="43EF2991"/>
    <w:rsid w:val="43F4696E"/>
    <w:rsid w:val="43F73162"/>
    <w:rsid w:val="44202971"/>
    <w:rsid w:val="442D4378"/>
    <w:rsid w:val="44597BEE"/>
    <w:rsid w:val="447A4753"/>
    <w:rsid w:val="44A70E24"/>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5C67D3"/>
    <w:rsid w:val="45670DDD"/>
    <w:rsid w:val="45727755"/>
    <w:rsid w:val="457769D2"/>
    <w:rsid w:val="45905965"/>
    <w:rsid w:val="45965757"/>
    <w:rsid w:val="45972B2C"/>
    <w:rsid w:val="45A3628D"/>
    <w:rsid w:val="45B64F63"/>
    <w:rsid w:val="45BA5028"/>
    <w:rsid w:val="45CA6C10"/>
    <w:rsid w:val="45CE5804"/>
    <w:rsid w:val="45D01294"/>
    <w:rsid w:val="45DA4126"/>
    <w:rsid w:val="45DC1DF8"/>
    <w:rsid w:val="45E03532"/>
    <w:rsid w:val="45E13D07"/>
    <w:rsid w:val="45FB48CF"/>
    <w:rsid w:val="461643DB"/>
    <w:rsid w:val="4623311D"/>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6DD08E0"/>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B762C"/>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5F3913"/>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817094"/>
    <w:rsid w:val="49821D8D"/>
    <w:rsid w:val="4987544D"/>
    <w:rsid w:val="49AA1CA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2A2312"/>
    <w:rsid w:val="4B497841"/>
    <w:rsid w:val="4B503DE9"/>
    <w:rsid w:val="4B592E57"/>
    <w:rsid w:val="4B731311"/>
    <w:rsid w:val="4B875FCE"/>
    <w:rsid w:val="4B9A2375"/>
    <w:rsid w:val="4BAD17E4"/>
    <w:rsid w:val="4BDC3C83"/>
    <w:rsid w:val="4BDE7E35"/>
    <w:rsid w:val="4BF9319F"/>
    <w:rsid w:val="4C0D0455"/>
    <w:rsid w:val="4C1F7A5B"/>
    <w:rsid w:val="4C221D61"/>
    <w:rsid w:val="4C2E4987"/>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A91FD2"/>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9E3EF8"/>
    <w:rsid w:val="4DA1355F"/>
    <w:rsid w:val="4DA537BB"/>
    <w:rsid w:val="4DA53A8B"/>
    <w:rsid w:val="4DA62BFC"/>
    <w:rsid w:val="4DA64128"/>
    <w:rsid w:val="4DAE157A"/>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A6558"/>
    <w:rsid w:val="4E7D60BC"/>
    <w:rsid w:val="4E865C84"/>
    <w:rsid w:val="4EB00275"/>
    <w:rsid w:val="4EDE397C"/>
    <w:rsid w:val="4EE8169B"/>
    <w:rsid w:val="4EF06C46"/>
    <w:rsid w:val="4EF614BA"/>
    <w:rsid w:val="4EF62402"/>
    <w:rsid w:val="4EFB53AB"/>
    <w:rsid w:val="4F087D26"/>
    <w:rsid w:val="4F35630A"/>
    <w:rsid w:val="4F362E18"/>
    <w:rsid w:val="4F3E1627"/>
    <w:rsid w:val="4F4551C9"/>
    <w:rsid w:val="4F497B36"/>
    <w:rsid w:val="4F540B41"/>
    <w:rsid w:val="4F547EAA"/>
    <w:rsid w:val="4F5B616B"/>
    <w:rsid w:val="4F5E121F"/>
    <w:rsid w:val="4F614D44"/>
    <w:rsid w:val="4F832885"/>
    <w:rsid w:val="4F9039FE"/>
    <w:rsid w:val="4FA22786"/>
    <w:rsid w:val="4FAA20BA"/>
    <w:rsid w:val="4FB5670E"/>
    <w:rsid w:val="4FBE2BCB"/>
    <w:rsid w:val="4FD901C9"/>
    <w:rsid w:val="4FE02223"/>
    <w:rsid w:val="502C5C3A"/>
    <w:rsid w:val="5037510A"/>
    <w:rsid w:val="503B2076"/>
    <w:rsid w:val="50437224"/>
    <w:rsid w:val="50490678"/>
    <w:rsid w:val="504E0549"/>
    <w:rsid w:val="50592B3E"/>
    <w:rsid w:val="505A512C"/>
    <w:rsid w:val="50624D52"/>
    <w:rsid w:val="50673DE8"/>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6609F8"/>
    <w:rsid w:val="51790E28"/>
    <w:rsid w:val="517C7028"/>
    <w:rsid w:val="517F5C5F"/>
    <w:rsid w:val="51956070"/>
    <w:rsid w:val="519634A4"/>
    <w:rsid w:val="519B6609"/>
    <w:rsid w:val="51AD08D9"/>
    <w:rsid w:val="51B858B2"/>
    <w:rsid w:val="51BE6CEC"/>
    <w:rsid w:val="51C26588"/>
    <w:rsid w:val="51D82383"/>
    <w:rsid w:val="51DE4114"/>
    <w:rsid w:val="51DE5AD9"/>
    <w:rsid w:val="51E31D3C"/>
    <w:rsid w:val="51EF617D"/>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70507D"/>
    <w:rsid w:val="528522F3"/>
    <w:rsid w:val="528E0D83"/>
    <w:rsid w:val="529526FC"/>
    <w:rsid w:val="529C45E9"/>
    <w:rsid w:val="52A17AC6"/>
    <w:rsid w:val="52C04D72"/>
    <w:rsid w:val="52C32709"/>
    <w:rsid w:val="52CA35B0"/>
    <w:rsid w:val="52D27A41"/>
    <w:rsid w:val="52DD15C5"/>
    <w:rsid w:val="52DF0657"/>
    <w:rsid w:val="52EE7DBE"/>
    <w:rsid w:val="52F56C9E"/>
    <w:rsid w:val="52F63B4F"/>
    <w:rsid w:val="52F65F3D"/>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93A06"/>
    <w:rsid w:val="542E6AAF"/>
    <w:rsid w:val="543D68D9"/>
    <w:rsid w:val="546F7A15"/>
    <w:rsid w:val="54871B54"/>
    <w:rsid w:val="54911A71"/>
    <w:rsid w:val="549F3EDE"/>
    <w:rsid w:val="54AA3CD9"/>
    <w:rsid w:val="54AE5FB7"/>
    <w:rsid w:val="54B76615"/>
    <w:rsid w:val="54C05367"/>
    <w:rsid w:val="54C6326E"/>
    <w:rsid w:val="54C96C83"/>
    <w:rsid w:val="54D31B63"/>
    <w:rsid w:val="54EA3219"/>
    <w:rsid w:val="550118A5"/>
    <w:rsid w:val="550232D3"/>
    <w:rsid w:val="552E65CF"/>
    <w:rsid w:val="553B76B4"/>
    <w:rsid w:val="554860F4"/>
    <w:rsid w:val="55582F0D"/>
    <w:rsid w:val="557A16A0"/>
    <w:rsid w:val="559719B0"/>
    <w:rsid w:val="559A22C4"/>
    <w:rsid w:val="559C2F3F"/>
    <w:rsid w:val="559D206E"/>
    <w:rsid w:val="559F228F"/>
    <w:rsid w:val="55A67EE8"/>
    <w:rsid w:val="55A86A5A"/>
    <w:rsid w:val="55B54251"/>
    <w:rsid w:val="55B854FA"/>
    <w:rsid w:val="55BC1AF6"/>
    <w:rsid w:val="55C34295"/>
    <w:rsid w:val="55D00DC0"/>
    <w:rsid w:val="55E8090D"/>
    <w:rsid w:val="56060266"/>
    <w:rsid w:val="56211BF5"/>
    <w:rsid w:val="562A1609"/>
    <w:rsid w:val="56345C9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0D311F"/>
    <w:rsid w:val="57301450"/>
    <w:rsid w:val="57493B22"/>
    <w:rsid w:val="574D339C"/>
    <w:rsid w:val="5753468B"/>
    <w:rsid w:val="575B3101"/>
    <w:rsid w:val="5760479D"/>
    <w:rsid w:val="576D43D6"/>
    <w:rsid w:val="5779650A"/>
    <w:rsid w:val="57864FE8"/>
    <w:rsid w:val="57892526"/>
    <w:rsid w:val="578D7BBB"/>
    <w:rsid w:val="57B11185"/>
    <w:rsid w:val="57BA33E6"/>
    <w:rsid w:val="57C451DA"/>
    <w:rsid w:val="57DD6085"/>
    <w:rsid w:val="57E12441"/>
    <w:rsid w:val="57E52AC8"/>
    <w:rsid w:val="57E54658"/>
    <w:rsid w:val="57E54D83"/>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6C188E"/>
    <w:rsid w:val="588C11D6"/>
    <w:rsid w:val="58C16B43"/>
    <w:rsid w:val="58D16F1C"/>
    <w:rsid w:val="58EF47AD"/>
    <w:rsid w:val="59015094"/>
    <w:rsid w:val="59033141"/>
    <w:rsid w:val="592A36F8"/>
    <w:rsid w:val="5930512A"/>
    <w:rsid w:val="59413198"/>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16CB8"/>
    <w:rsid w:val="59E56E97"/>
    <w:rsid w:val="59EE0B0E"/>
    <w:rsid w:val="59EF52ED"/>
    <w:rsid w:val="59F378E0"/>
    <w:rsid w:val="5A03208B"/>
    <w:rsid w:val="5A0D0AAC"/>
    <w:rsid w:val="5A1B27B8"/>
    <w:rsid w:val="5A41505E"/>
    <w:rsid w:val="5A4E2EF4"/>
    <w:rsid w:val="5A4F0BA7"/>
    <w:rsid w:val="5A60385B"/>
    <w:rsid w:val="5A8729BF"/>
    <w:rsid w:val="5A880FBE"/>
    <w:rsid w:val="5A9F16FB"/>
    <w:rsid w:val="5AA10D42"/>
    <w:rsid w:val="5AB010F8"/>
    <w:rsid w:val="5AC608F3"/>
    <w:rsid w:val="5ACA2411"/>
    <w:rsid w:val="5AE31485"/>
    <w:rsid w:val="5AE51CF8"/>
    <w:rsid w:val="5AEA1DCC"/>
    <w:rsid w:val="5AF626D8"/>
    <w:rsid w:val="5AF62900"/>
    <w:rsid w:val="5AFC40F3"/>
    <w:rsid w:val="5B053218"/>
    <w:rsid w:val="5B0D46E9"/>
    <w:rsid w:val="5B172EA1"/>
    <w:rsid w:val="5B1D3336"/>
    <w:rsid w:val="5B22062D"/>
    <w:rsid w:val="5B241C6D"/>
    <w:rsid w:val="5B2B355B"/>
    <w:rsid w:val="5B3624A5"/>
    <w:rsid w:val="5B374F9C"/>
    <w:rsid w:val="5B375D42"/>
    <w:rsid w:val="5B3E3090"/>
    <w:rsid w:val="5B413ED9"/>
    <w:rsid w:val="5B5A4D9B"/>
    <w:rsid w:val="5B736DFC"/>
    <w:rsid w:val="5B74248A"/>
    <w:rsid w:val="5B7966A3"/>
    <w:rsid w:val="5B7C3A7D"/>
    <w:rsid w:val="5B86450D"/>
    <w:rsid w:val="5B8675CA"/>
    <w:rsid w:val="5BA652CD"/>
    <w:rsid w:val="5BA97FD4"/>
    <w:rsid w:val="5BAE0621"/>
    <w:rsid w:val="5BB84115"/>
    <w:rsid w:val="5BDA1A02"/>
    <w:rsid w:val="5BDA3815"/>
    <w:rsid w:val="5C0A6081"/>
    <w:rsid w:val="5C100E26"/>
    <w:rsid w:val="5C2920A7"/>
    <w:rsid w:val="5C4C3CC9"/>
    <w:rsid w:val="5C512FEC"/>
    <w:rsid w:val="5C56405A"/>
    <w:rsid w:val="5C5A7368"/>
    <w:rsid w:val="5C5C59BB"/>
    <w:rsid w:val="5C6A1E8C"/>
    <w:rsid w:val="5C6A3F95"/>
    <w:rsid w:val="5C6B5D9D"/>
    <w:rsid w:val="5C6F3AA2"/>
    <w:rsid w:val="5C7D0BEA"/>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2D376B"/>
    <w:rsid w:val="5D35568A"/>
    <w:rsid w:val="5D3734F1"/>
    <w:rsid w:val="5D386EFC"/>
    <w:rsid w:val="5D3A42DC"/>
    <w:rsid w:val="5D423265"/>
    <w:rsid w:val="5D525245"/>
    <w:rsid w:val="5D722537"/>
    <w:rsid w:val="5D9F7913"/>
    <w:rsid w:val="5DA82147"/>
    <w:rsid w:val="5DC7113D"/>
    <w:rsid w:val="5DCE771F"/>
    <w:rsid w:val="5DD3556C"/>
    <w:rsid w:val="5DD4248F"/>
    <w:rsid w:val="5DD81E67"/>
    <w:rsid w:val="5DDD3199"/>
    <w:rsid w:val="5DE6704B"/>
    <w:rsid w:val="5DEA4622"/>
    <w:rsid w:val="5DEC3B70"/>
    <w:rsid w:val="5DF84369"/>
    <w:rsid w:val="5DF92DCB"/>
    <w:rsid w:val="5E091FB5"/>
    <w:rsid w:val="5E0B27F9"/>
    <w:rsid w:val="5E177160"/>
    <w:rsid w:val="5E277D80"/>
    <w:rsid w:val="5E280CB5"/>
    <w:rsid w:val="5E2B0CD4"/>
    <w:rsid w:val="5E2F1ECF"/>
    <w:rsid w:val="5E4130FC"/>
    <w:rsid w:val="5E447267"/>
    <w:rsid w:val="5E4A572D"/>
    <w:rsid w:val="5E5667A6"/>
    <w:rsid w:val="5E58762B"/>
    <w:rsid w:val="5E676802"/>
    <w:rsid w:val="5E6C7C78"/>
    <w:rsid w:val="5E6D12E9"/>
    <w:rsid w:val="5E72699B"/>
    <w:rsid w:val="5E794082"/>
    <w:rsid w:val="5E7D07C6"/>
    <w:rsid w:val="5E815CED"/>
    <w:rsid w:val="5E8413CA"/>
    <w:rsid w:val="5E887A26"/>
    <w:rsid w:val="5EA35CFD"/>
    <w:rsid w:val="5EAC0CC5"/>
    <w:rsid w:val="5EAF07E9"/>
    <w:rsid w:val="5EB75E1B"/>
    <w:rsid w:val="5EBF067F"/>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E02EC"/>
    <w:rsid w:val="5FA1081C"/>
    <w:rsid w:val="5FBB5BDB"/>
    <w:rsid w:val="5FD9462B"/>
    <w:rsid w:val="5FE061B9"/>
    <w:rsid w:val="5FEB5761"/>
    <w:rsid w:val="5FFB6305"/>
    <w:rsid w:val="60011320"/>
    <w:rsid w:val="60014C1E"/>
    <w:rsid w:val="60267D5D"/>
    <w:rsid w:val="603D07B6"/>
    <w:rsid w:val="604100BA"/>
    <w:rsid w:val="604E051E"/>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C3522"/>
    <w:rsid w:val="611F5E40"/>
    <w:rsid w:val="612650A2"/>
    <w:rsid w:val="61275225"/>
    <w:rsid w:val="61307568"/>
    <w:rsid w:val="61381979"/>
    <w:rsid w:val="614041D7"/>
    <w:rsid w:val="61552A82"/>
    <w:rsid w:val="61563B66"/>
    <w:rsid w:val="615A1941"/>
    <w:rsid w:val="615B6844"/>
    <w:rsid w:val="616C655B"/>
    <w:rsid w:val="616E381D"/>
    <w:rsid w:val="618930E9"/>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511DE0"/>
    <w:rsid w:val="62514EEA"/>
    <w:rsid w:val="6258116A"/>
    <w:rsid w:val="628C53F9"/>
    <w:rsid w:val="62937829"/>
    <w:rsid w:val="62A20B07"/>
    <w:rsid w:val="62A414E0"/>
    <w:rsid w:val="62BA5904"/>
    <w:rsid w:val="62CC77CB"/>
    <w:rsid w:val="62ED7B5F"/>
    <w:rsid w:val="62F3784F"/>
    <w:rsid w:val="62F41404"/>
    <w:rsid w:val="62FF3FB5"/>
    <w:rsid w:val="63021DE2"/>
    <w:rsid w:val="63112339"/>
    <w:rsid w:val="632C21E9"/>
    <w:rsid w:val="632C2662"/>
    <w:rsid w:val="632E6C44"/>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05D11"/>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11EAD"/>
    <w:rsid w:val="659E46D8"/>
    <w:rsid w:val="65A57048"/>
    <w:rsid w:val="65B102F0"/>
    <w:rsid w:val="65B50E5A"/>
    <w:rsid w:val="65B921D6"/>
    <w:rsid w:val="65BB292B"/>
    <w:rsid w:val="65CF7927"/>
    <w:rsid w:val="65D40A3C"/>
    <w:rsid w:val="65D5305E"/>
    <w:rsid w:val="65D54781"/>
    <w:rsid w:val="65D7500D"/>
    <w:rsid w:val="65E9286B"/>
    <w:rsid w:val="65EB54AF"/>
    <w:rsid w:val="65F56727"/>
    <w:rsid w:val="66052835"/>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19112E"/>
    <w:rsid w:val="672B0A1A"/>
    <w:rsid w:val="674738D6"/>
    <w:rsid w:val="67580868"/>
    <w:rsid w:val="67582E11"/>
    <w:rsid w:val="675A178E"/>
    <w:rsid w:val="675A1CDF"/>
    <w:rsid w:val="67610EFA"/>
    <w:rsid w:val="6773071F"/>
    <w:rsid w:val="67857D7D"/>
    <w:rsid w:val="678D5B85"/>
    <w:rsid w:val="67904419"/>
    <w:rsid w:val="6792015B"/>
    <w:rsid w:val="67995A29"/>
    <w:rsid w:val="67A00193"/>
    <w:rsid w:val="67B563BE"/>
    <w:rsid w:val="67B61F7E"/>
    <w:rsid w:val="67CC6582"/>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782F2B"/>
    <w:rsid w:val="688432AD"/>
    <w:rsid w:val="6886446B"/>
    <w:rsid w:val="6886482A"/>
    <w:rsid w:val="6887696D"/>
    <w:rsid w:val="688E57BC"/>
    <w:rsid w:val="68904BFB"/>
    <w:rsid w:val="689753E7"/>
    <w:rsid w:val="68A0499E"/>
    <w:rsid w:val="68A36E99"/>
    <w:rsid w:val="68A44667"/>
    <w:rsid w:val="68AE3670"/>
    <w:rsid w:val="68C332BA"/>
    <w:rsid w:val="68C708F2"/>
    <w:rsid w:val="68D56251"/>
    <w:rsid w:val="68E05806"/>
    <w:rsid w:val="68EF5946"/>
    <w:rsid w:val="68F25DFA"/>
    <w:rsid w:val="68FF6567"/>
    <w:rsid w:val="69115872"/>
    <w:rsid w:val="69216025"/>
    <w:rsid w:val="692547BF"/>
    <w:rsid w:val="69265988"/>
    <w:rsid w:val="692B1CF6"/>
    <w:rsid w:val="693118AD"/>
    <w:rsid w:val="694610B7"/>
    <w:rsid w:val="69603C4B"/>
    <w:rsid w:val="69614422"/>
    <w:rsid w:val="69683F1C"/>
    <w:rsid w:val="69734633"/>
    <w:rsid w:val="6986197E"/>
    <w:rsid w:val="69930E11"/>
    <w:rsid w:val="699C0EF8"/>
    <w:rsid w:val="699E4713"/>
    <w:rsid w:val="69A23095"/>
    <w:rsid w:val="69AB5DBB"/>
    <w:rsid w:val="69B06EFE"/>
    <w:rsid w:val="69B840F1"/>
    <w:rsid w:val="69C91948"/>
    <w:rsid w:val="69CC3785"/>
    <w:rsid w:val="69F22996"/>
    <w:rsid w:val="69FD45AC"/>
    <w:rsid w:val="6A0C6539"/>
    <w:rsid w:val="6A2314C2"/>
    <w:rsid w:val="6A2826A1"/>
    <w:rsid w:val="6A3242A4"/>
    <w:rsid w:val="6A404314"/>
    <w:rsid w:val="6A551347"/>
    <w:rsid w:val="6A5660EE"/>
    <w:rsid w:val="6A582EF8"/>
    <w:rsid w:val="6A5D1911"/>
    <w:rsid w:val="6A6A4AF1"/>
    <w:rsid w:val="6A910FC0"/>
    <w:rsid w:val="6A9635F7"/>
    <w:rsid w:val="6A9F3407"/>
    <w:rsid w:val="6A9F72BE"/>
    <w:rsid w:val="6AA45AEE"/>
    <w:rsid w:val="6AAA05A9"/>
    <w:rsid w:val="6AB350F3"/>
    <w:rsid w:val="6ACA1091"/>
    <w:rsid w:val="6AE3604F"/>
    <w:rsid w:val="6AE60B4C"/>
    <w:rsid w:val="6B0E0011"/>
    <w:rsid w:val="6B113D9E"/>
    <w:rsid w:val="6B24051D"/>
    <w:rsid w:val="6B262A87"/>
    <w:rsid w:val="6B2A4BEF"/>
    <w:rsid w:val="6B3529D0"/>
    <w:rsid w:val="6B3611E8"/>
    <w:rsid w:val="6B3C6A10"/>
    <w:rsid w:val="6B3D3D48"/>
    <w:rsid w:val="6B56591A"/>
    <w:rsid w:val="6B583439"/>
    <w:rsid w:val="6B5A54FD"/>
    <w:rsid w:val="6B5B3158"/>
    <w:rsid w:val="6B5D3F7A"/>
    <w:rsid w:val="6B726A7C"/>
    <w:rsid w:val="6B8833D8"/>
    <w:rsid w:val="6B8902B7"/>
    <w:rsid w:val="6BA832B8"/>
    <w:rsid w:val="6BB54A7D"/>
    <w:rsid w:val="6BBA5C26"/>
    <w:rsid w:val="6BC644EC"/>
    <w:rsid w:val="6BC95DA0"/>
    <w:rsid w:val="6BDB04B6"/>
    <w:rsid w:val="6BE87D8B"/>
    <w:rsid w:val="6BE963BE"/>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2B0FAE"/>
    <w:rsid w:val="6D464DCC"/>
    <w:rsid w:val="6D513210"/>
    <w:rsid w:val="6D5216BC"/>
    <w:rsid w:val="6D616216"/>
    <w:rsid w:val="6D627650"/>
    <w:rsid w:val="6D663E0B"/>
    <w:rsid w:val="6D7B052E"/>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AB4B2E"/>
    <w:rsid w:val="6EB47BE6"/>
    <w:rsid w:val="6EB94625"/>
    <w:rsid w:val="6ED133CF"/>
    <w:rsid w:val="6EDB44F4"/>
    <w:rsid w:val="6EDD75A0"/>
    <w:rsid w:val="6EE35532"/>
    <w:rsid w:val="6EE50185"/>
    <w:rsid w:val="6EE73EE7"/>
    <w:rsid w:val="6EFB08C4"/>
    <w:rsid w:val="6F0D2298"/>
    <w:rsid w:val="6F0E59F8"/>
    <w:rsid w:val="6F101EF2"/>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1F7297"/>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181E"/>
    <w:rsid w:val="70CE2945"/>
    <w:rsid w:val="70DA395B"/>
    <w:rsid w:val="70E03E42"/>
    <w:rsid w:val="70FF73CC"/>
    <w:rsid w:val="710003A8"/>
    <w:rsid w:val="710376A0"/>
    <w:rsid w:val="71055269"/>
    <w:rsid w:val="710F0BB8"/>
    <w:rsid w:val="71194261"/>
    <w:rsid w:val="711C5BB5"/>
    <w:rsid w:val="71320FCA"/>
    <w:rsid w:val="713662BF"/>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263829"/>
    <w:rsid w:val="73300890"/>
    <w:rsid w:val="7339443F"/>
    <w:rsid w:val="73795D74"/>
    <w:rsid w:val="739509FA"/>
    <w:rsid w:val="73A80755"/>
    <w:rsid w:val="73C4164C"/>
    <w:rsid w:val="73CC653A"/>
    <w:rsid w:val="73D159A1"/>
    <w:rsid w:val="73D217D6"/>
    <w:rsid w:val="73DD0AC3"/>
    <w:rsid w:val="73E00FC2"/>
    <w:rsid w:val="73E10A6B"/>
    <w:rsid w:val="73E96F00"/>
    <w:rsid w:val="73F048D5"/>
    <w:rsid w:val="73F35C20"/>
    <w:rsid w:val="73F445CA"/>
    <w:rsid w:val="73F8462A"/>
    <w:rsid w:val="740C66E7"/>
    <w:rsid w:val="741D2D43"/>
    <w:rsid w:val="745B0796"/>
    <w:rsid w:val="745F4062"/>
    <w:rsid w:val="74982C64"/>
    <w:rsid w:val="74BA13F8"/>
    <w:rsid w:val="74C25D12"/>
    <w:rsid w:val="74DF2CBA"/>
    <w:rsid w:val="74DF558B"/>
    <w:rsid w:val="74EE1D1B"/>
    <w:rsid w:val="74F10289"/>
    <w:rsid w:val="74F826B3"/>
    <w:rsid w:val="75014572"/>
    <w:rsid w:val="75067D82"/>
    <w:rsid w:val="75101474"/>
    <w:rsid w:val="75152359"/>
    <w:rsid w:val="75213808"/>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EA72E6"/>
    <w:rsid w:val="75FD7026"/>
    <w:rsid w:val="760A612B"/>
    <w:rsid w:val="76212424"/>
    <w:rsid w:val="76351D9E"/>
    <w:rsid w:val="76366C02"/>
    <w:rsid w:val="76407DE4"/>
    <w:rsid w:val="765109E1"/>
    <w:rsid w:val="76511A24"/>
    <w:rsid w:val="765629A7"/>
    <w:rsid w:val="766628A9"/>
    <w:rsid w:val="767376B4"/>
    <w:rsid w:val="76752691"/>
    <w:rsid w:val="767A7B90"/>
    <w:rsid w:val="76854DBA"/>
    <w:rsid w:val="76924971"/>
    <w:rsid w:val="76933E2E"/>
    <w:rsid w:val="76A174D7"/>
    <w:rsid w:val="76A27B4C"/>
    <w:rsid w:val="76B918A6"/>
    <w:rsid w:val="76BC587C"/>
    <w:rsid w:val="76BF7808"/>
    <w:rsid w:val="76C00AFC"/>
    <w:rsid w:val="76C07136"/>
    <w:rsid w:val="76D5715F"/>
    <w:rsid w:val="76DC622D"/>
    <w:rsid w:val="76DF600F"/>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D6BBB"/>
    <w:rsid w:val="77FE2EB7"/>
    <w:rsid w:val="78022369"/>
    <w:rsid w:val="78044AA5"/>
    <w:rsid w:val="78065036"/>
    <w:rsid w:val="780D5CB6"/>
    <w:rsid w:val="7812689F"/>
    <w:rsid w:val="78366B8C"/>
    <w:rsid w:val="783B287A"/>
    <w:rsid w:val="78473DA2"/>
    <w:rsid w:val="78482C69"/>
    <w:rsid w:val="785E7689"/>
    <w:rsid w:val="78646C75"/>
    <w:rsid w:val="786A7B13"/>
    <w:rsid w:val="786C541C"/>
    <w:rsid w:val="78762B5D"/>
    <w:rsid w:val="78777631"/>
    <w:rsid w:val="78814E68"/>
    <w:rsid w:val="788249B9"/>
    <w:rsid w:val="78886D15"/>
    <w:rsid w:val="78B2035E"/>
    <w:rsid w:val="78B26E06"/>
    <w:rsid w:val="78B43B82"/>
    <w:rsid w:val="78B57D9C"/>
    <w:rsid w:val="78BB1830"/>
    <w:rsid w:val="78BB76EA"/>
    <w:rsid w:val="78D143A0"/>
    <w:rsid w:val="78E26C73"/>
    <w:rsid w:val="78E76B0F"/>
    <w:rsid w:val="78F45BFA"/>
    <w:rsid w:val="78F65C61"/>
    <w:rsid w:val="78FB1BD1"/>
    <w:rsid w:val="7908420F"/>
    <w:rsid w:val="79213328"/>
    <w:rsid w:val="792B2FE1"/>
    <w:rsid w:val="793F79D5"/>
    <w:rsid w:val="794B44BE"/>
    <w:rsid w:val="7964511F"/>
    <w:rsid w:val="79654656"/>
    <w:rsid w:val="797C520F"/>
    <w:rsid w:val="79824E81"/>
    <w:rsid w:val="798C4C6F"/>
    <w:rsid w:val="79956A1C"/>
    <w:rsid w:val="799B2468"/>
    <w:rsid w:val="799E7491"/>
    <w:rsid w:val="799F3F47"/>
    <w:rsid w:val="79A72484"/>
    <w:rsid w:val="79A82466"/>
    <w:rsid w:val="79AA2802"/>
    <w:rsid w:val="79AB67B1"/>
    <w:rsid w:val="79BA471D"/>
    <w:rsid w:val="79C47FC2"/>
    <w:rsid w:val="79D9306A"/>
    <w:rsid w:val="79DB744B"/>
    <w:rsid w:val="79DF005F"/>
    <w:rsid w:val="79E028EC"/>
    <w:rsid w:val="7A114E8A"/>
    <w:rsid w:val="7A1C5B1C"/>
    <w:rsid w:val="7A233119"/>
    <w:rsid w:val="7A2D6C9D"/>
    <w:rsid w:val="7A4653BA"/>
    <w:rsid w:val="7A4E1321"/>
    <w:rsid w:val="7A657390"/>
    <w:rsid w:val="7A765EEC"/>
    <w:rsid w:val="7A773B5D"/>
    <w:rsid w:val="7A78007C"/>
    <w:rsid w:val="7A790CA9"/>
    <w:rsid w:val="7A79527C"/>
    <w:rsid w:val="7A9B1977"/>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7E7CCB"/>
    <w:rsid w:val="7B8B55D5"/>
    <w:rsid w:val="7B912844"/>
    <w:rsid w:val="7B913B86"/>
    <w:rsid w:val="7B97422A"/>
    <w:rsid w:val="7BA969F0"/>
    <w:rsid w:val="7BB31B68"/>
    <w:rsid w:val="7BCB31C0"/>
    <w:rsid w:val="7BCF5C01"/>
    <w:rsid w:val="7BDC6155"/>
    <w:rsid w:val="7BDF7C27"/>
    <w:rsid w:val="7BE836BB"/>
    <w:rsid w:val="7C054494"/>
    <w:rsid w:val="7C071C5F"/>
    <w:rsid w:val="7C1311BA"/>
    <w:rsid w:val="7C194469"/>
    <w:rsid w:val="7C1A6CD5"/>
    <w:rsid w:val="7C2630F4"/>
    <w:rsid w:val="7C364E8E"/>
    <w:rsid w:val="7C3A066B"/>
    <w:rsid w:val="7C3F61A8"/>
    <w:rsid w:val="7C45471C"/>
    <w:rsid w:val="7C5243D6"/>
    <w:rsid w:val="7C537917"/>
    <w:rsid w:val="7C7E27D3"/>
    <w:rsid w:val="7C7F3629"/>
    <w:rsid w:val="7C8B7A6D"/>
    <w:rsid w:val="7C90110D"/>
    <w:rsid w:val="7C92457D"/>
    <w:rsid w:val="7C96404C"/>
    <w:rsid w:val="7C9B6AF6"/>
    <w:rsid w:val="7CA34622"/>
    <w:rsid w:val="7CAB4126"/>
    <w:rsid w:val="7CAE57C9"/>
    <w:rsid w:val="7CC90590"/>
    <w:rsid w:val="7CD11BB9"/>
    <w:rsid w:val="7CF96CBC"/>
    <w:rsid w:val="7D05630F"/>
    <w:rsid w:val="7D215AA1"/>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44349"/>
    <w:rsid w:val="7EE76D18"/>
    <w:rsid w:val="7EEB124A"/>
    <w:rsid w:val="7EF765D0"/>
    <w:rsid w:val="7EF8405F"/>
    <w:rsid w:val="7EF87C96"/>
    <w:rsid w:val="7F086927"/>
    <w:rsid w:val="7F1C0DEC"/>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DF68C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正文5"/>
    <w:qFormat/>
    <w:uiPriority w:val="0"/>
    <w:pPr>
      <w:spacing w:before="100" w:beforeAutospacing="1" w:after="180" w:line="259" w:lineRule="auto"/>
    </w:pPr>
    <w:rPr>
      <w:rFonts w:ascii="Times New Roman" w:hAnsi="Times New Roman" w:eastAsia="Times New Roman" w:cs="Times New Roman"/>
      <w:sz w:val="24"/>
      <w:szCs w:val="24"/>
      <w:lang w:val="en-US" w:eastAsia="zh-CN" w:bidi="ar-SA"/>
    </w:rPr>
  </w:style>
  <w:style w:type="paragraph" w:customStyle="1" w:styleId="126">
    <w:name w:val="Pat Appl"/>
    <w:basedOn w:val="127"/>
    <w:qFormat/>
    <w:uiPriority w:val="0"/>
    <w:pPr>
      <w:tabs>
        <w:tab w:val="left" w:pos="1080"/>
      </w:tabs>
      <w:spacing w:after="0"/>
    </w:pPr>
  </w:style>
  <w:style w:type="paragraph" w:customStyle="1" w:styleId="127">
    <w:name w:val="PatApp Body"/>
    <w:basedOn w:val="1"/>
    <w:qFormat/>
    <w:uiPriority w:val="0"/>
    <w:pPr>
      <w:numPr>
        <w:ilvl w:val="0"/>
        <w:numId w:val="7"/>
      </w:numPr>
    </w:pPr>
  </w:style>
  <w:style w:type="table" w:customStyle="1" w:styleId="128">
    <w:name w:val="Table Grid2"/>
    <w:basedOn w:val="23"/>
    <w:qFormat/>
    <w:uiPriority w:val="59"/>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9">
    <w:name w:val="mc-p___"/>
    <w:basedOn w:val="1"/>
    <w:qFormat/>
    <w:uiPriority w:val="99"/>
    <w:pPr>
      <w:spacing w:before="100" w:beforeAutospacing="1" w:after="100" w:afterAutospacing="1" w:line="240" w:lineRule="auto"/>
    </w:pPr>
    <w:rPr>
      <w:rFonts w:ascii="Gulim" w:eastAsia="Gulim" w:cs="Calibri"/>
      <w:sz w:val="24"/>
      <w:szCs w:val="24"/>
    </w:rPr>
  </w:style>
  <w:style w:type="paragraph" w:customStyle="1" w:styleId="130">
    <w:name w:val="References"/>
    <w:basedOn w:val="1"/>
    <w:qFormat/>
    <w:uiPriority w:val="0"/>
    <w:pPr>
      <w:numPr>
        <w:ilvl w:val="0"/>
        <w:numId w:val="8"/>
      </w:numPr>
      <w:spacing w:after="60"/>
    </w:pPr>
    <w:rPr>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E7A56-CF83-4E76-977A-11D1888E8D02}">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1958</Words>
  <Characters>11164</Characters>
  <Lines>93</Lines>
  <Paragraphs>26</Paragraphs>
  <TotalTime>1</TotalTime>
  <ScaleCrop>false</ScaleCrop>
  <LinksUpToDate>false</LinksUpToDate>
  <CharactersWithSpaces>13096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2023-09-26T00:15:00Z</dcterms:created>
  <dc:creator>ZTE</dc:creator>
  <cp:lastModifiedBy>ZTE-Ke</cp:lastModifiedBy>
  <dcterms:modified xsi:type="dcterms:W3CDTF">2023-11-03T08:00:12Z</dcterms:modified>
  <dc:title>3GPP TSG-RAN WG1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27635CB571C24FC0ADE0E3AC5A5C99EC</vt:lpwstr>
  </property>
</Properties>
</file>